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13A3" w:rsidRDefault="008813A3">
      <w:pPr>
        <w:spacing w:after="240"/>
        <w:rPr>
          <w:rFonts w:ascii="Times New Roman" w:eastAsia="Times New Roman" w:hAnsi="Times New Roman" w:cs="Times New Roman"/>
          <w:sz w:val="22"/>
          <w:szCs w:val="22"/>
        </w:rPr>
      </w:pPr>
    </w:p>
    <w:p w:rsidR="008813A3" w:rsidRDefault="00ED01C9">
      <w:pPr>
        <w:jc w:val="center"/>
        <w:rPr>
          <w:rFonts w:ascii="Times New Roman" w:eastAsia="Times New Roman" w:hAnsi="Times New Roman" w:cs="Times New Roman"/>
          <w:sz w:val="22"/>
          <w:szCs w:val="22"/>
        </w:rPr>
      </w:pPr>
      <w:bookmarkStart w:id="0" w:name="_heading=h.gjdgxs" w:colFirst="0" w:colLast="0"/>
      <w:bookmarkEnd w:id="0"/>
      <w:r>
        <w:rPr>
          <w:rFonts w:ascii="Times New Roman" w:eastAsia="Times New Roman" w:hAnsi="Times New Roman" w:cs="Times New Roman"/>
          <w:b/>
          <w:bCs/>
          <w:sz w:val="22"/>
          <w:szCs w:val="22"/>
        </w:rPr>
        <w:t>MEMORANDO</w:t>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w:t>
      </w:r>
      <w:r>
        <w:rPr>
          <w:rFonts w:ascii="Times New Roman" w:eastAsia="Times New Roman" w:hAnsi="Times New Roman" w:cs="Times New Roman"/>
          <w:sz w:val="22"/>
          <w:szCs w:val="22"/>
        </w:rPr>
        <w:tab/>
      </w:r>
      <w:r>
        <w:rPr>
          <w:rFonts w:ascii="Times New Roman" w:eastAsia="Times New Roman" w:hAnsi="Times New Roman" w:cs="Times New Roman"/>
          <w:sz w:val="22"/>
          <w:szCs w:val="22"/>
        </w:rPr>
        <w:tab/>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8813A3">
      <w:pPr>
        <w:jc w:val="center"/>
        <w:rPr>
          <w:rFonts w:ascii="Times New Roman" w:eastAsia="Times New Roman" w:hAnsi="Times New Roman" w:cs="Times New Roman"/>
          <w:sz w:val="22"/>
          <w:szCs w:val="22"/>
        </w:rPr>
      </w:pPr>
    </w:p>
    <w:p w:rsidR="008813A3" w:rsidRDefault="00ED01C9">
      <w:pPr>
        <w:rPr>
          <w:rFonts w:ascii="Times New Roman" w:eastAsia="Times New Roman" w:hAnsi="Times New Roman" w:cs="Times New Roman"/>
          <w:sz w:val="22"/>
          <w:szCs w:val="22"/>
        </w:rPr>
      </w:pPr>
      <w:r>
        <w:rPr>
          <w:rFonts w:ascii="Times New Roman" w:eastAsia="Times New Roman" w:hAnsi="Times New Roman" w:cs="Times New Roman"/>
          <w:b/>
          <w:bCs/>
          <w:sz w:val="22"/>
          <w:szCs w:val="22"/>
        </w:rPr>
        <w:t>PARA</w:t>
      </w: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ab/>
        <w:t xml:space="preserve"> LUZ ANGÉLICA VIZCAINO   </w:t>
      </w:r>
    </w:p>
    <w:p w:rsidR="008813A3" w:rsidRDefault="00ED01C9">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Secretaria General  </w:t>
      </w:r>
      <w:r>
        <w:rPr>
          <w:rFonts w:ascii="Times New Roman" w:eastAsia="Times New Roman" w:hAnsi="Times New Roman" w:cs="Times New Roman"/>
          <w:sz w:val="22"/>
          <w:szCs w:val="22"/>
        </w:rPr>
        <w:tab/>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w:t>
      </w:r>
      <w:r>
        <w:rPr>
          <w:rFonts w:ascii="Times New Roman" w:eastAsia="Times New Roman" w:hAnsi="Times New Roman" w:cs="Times New Roman"/>
          <w:sz w:val="22"/>
          <w:szCs w:val="22"/>
        </w:rPr>
        <w:tab/>
        <w:t>   </w:t>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ED01C9">
      <w:pPr>
        <w:rPr>
          <w:rFonts w:ascii="Times New Roman" w:eastAsia="Times New Roman" w:hAnsi="Times New Roman" w:cs="Times New Roman"/>
          <w:sz w:val="22"/>
          <w:szCs w:val="22"/>
        </w:rPr>
      </w:pPr>
      <w:r>
        <w:rPr>
          <w:rFonts w:ascii="Times New Roman" w:eastAsia="Times New Roman" w:hAnsi="Times New Roman" w:cs="Times New Roman"/>
          <w:b/>
          <w:bCs/>
          <w:sz w:val="22"/>
          <w:szCs w:val="22"/>
        </w:rPr>
        <w:t>DE</w:t>
      </w: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ab/>
        <w:t>H.C. JULIÁN USCÁTEGUI PASTRANA</w:t>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ED01C9">
      <w:pPr>
        <w:rPr>
          <w:rFonts w:ascii="Times New Roman" w:eastAsia="Times New Roman" w:hAnsi="Times New Roman" w:cs="Times New Roman"/>
          <w:sz w:val="22"/>
          <w:szCs w:val="22"/>
        </w:rPr>
      </w:pPr>
      <w:r>
        <w:rPr>
          <w:rFonts w:ascii="Times New Roman" w:eastAsia="Times New Roman" w:hAnsi="Times New Roman" w:cs="Times New Roman"/>
          <w:b/>
          <w:bCs/>
          <w:sz w:val="22"/>
          <w:szCs w:val="22"/>
        </w:rPr>
        <w:t>ASUNTO:</w:t>
      </w: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ab/>
        <w:t>Presentación Proyecto de Acuerdo No. ____________de 2026.</w:t>
      </w:r>
    </w:p>
    <w:p w:rsidR="008813A3" w:rsidRDefault="008813A3">
      <w:pPr>
        <w:rPr>
          <w:rFonts w:ascii="Times New Roman" w:eastAsia="Times New Roman" w:hAnsi="Times New Roman" w:cs="Times New Roman"/>
          <w:sz w:val="22"/>
          <w:szCs w:val="22"/>
        </w:rPr>
      </w:pPr>
    </w:p>
    <w:p w:rsidR="008813A3" w:rsidRDefault="00ED01C9">
      <w:pPr>
        <w:ind w:left="1420" w:hanging="1420"/>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Apreciada Dra. Vizcaino,</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sz w:val="22"/>
          <w:szCs w:val="22"/>
        </w:rPr>
        <w:t xml:space="preserve">Reciba un cordial saludo. De conformidad con lo señalado en los Artículos 66 del Acuerdo 741 de 2019, modificado por el art. 12 del Acuerdo 837 de 2022, de manera atenta, me permito radicar en medio magnético, ante su despacho el Proyecto de Acuerdo </w:t>
      </w:r>
      <w:r>
        <w:rPr>
          <w:rFonts w:ascii="Times New Roman" w:eastAsia="Times New Roman" w:hAnsi="Times New Roman" w:cs="Times New Roman"/>
          <w:i/>
          <w:iCs/>
          <w:sz w:val="22"/>
          <w:szCs w:val="22"/>
        </w:rPr>
        <w:t>"Por medio del cual se crea la feria de talentos para niños, niñas y adolescentes, “Bogotá, la capital del talento infantil” en el distrito capital y se dictan otras disposiciones".</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Agradezco su amable gestión.</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Cordialmente,</w:t>
      </w:r>
    </w:p>
    <w:p w:rsidR="008813A3" w:rsidRDefault="00ED01C9">
      <w:pPr>
        <w:spacing w:after="240"/>
        <w:rPr>
          <w:rFonts w:ascii="Times New Roman" w:eastAsia="Times New Roman" w:hAnsi="Times New Roman" w:cs="Times New Roman"/>
          <w:sz w:val="22"/>
          <w:szCs w:val="22"/>
        </w:rPr>
      </w:pPr>
      <w:r>
        <w:rPr>
          <w:rFonts w:ascii="Times New Roman" w:eastAsia="Times New Roman" w:hAnsi="Times New Roman" w:cs="Times New Roman"/>
          <w:sz w:val="22"/>
          <w:szCs w:val="22"/>
        </w:rPr>
        <w:br/>
      </w:r>
      <w:r>
        <w:rPr>
          <w:rFonts w:ascii="Times New Roman" w:eastAsia="Times New Roman" w:hAnsi="Times New Roman" w:cs="Times New Roman"/>
          <w:sz w:val="22"/>
          <w:szCs w:val="22"/>
        </w:rPr>
        <w:br/>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JULIÁN USCÁTEGUI PASTRANA</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Concejal de Bogotá, D.C.</w:t>
      </w:r>
    </w:p>
    <w:p w:rsidR="008813A3" w:rsidRDefault="008813A3">
      <w:pPr>
        <w:ind w:left="1400" w:hanging="700"/>
        <w:jc w:val="center"/>
        <w:rPr>
          <w:rFonts w:ascii="Times New Roman" w:eastAsia="Times New Roman" w:hAnsi="Times New Roman" w:cs="Times New Roman"/>
          <w:b/>
          <w:bCs/>
          <w:sz w:val="22"/>
          <w:szCs w:val="22"/>
        </w:rPr>
      </w:pPr>
    </w:p>
    <w:p w:rsidR="008813A3" w:rsidRDefault="008813A3">
      <w:pPr>
        <w:ind w:left="1400" w:hanging="700"/>
        <w:jc w:val="center"/>
        <w:rPr>
          <w:rFonts w:ascii="Times New Roman" w:eastAsia="Times New Roman" w:hAnsi="Times New Roman" w:cs="Times New Roman"/>
          <w:b/>
          <w:bCs/>
          <w:sz w:val="22"/>
          <w:szCs w:val="22"/>
        </w:rPr>
      </w:pPr>
    </w:p>
    <w:p w:rsidR="008813A3" w:rsidRDefault="008813A3">
      <w:pPr>
        <w:ind w:left="1400" w:hanging="700"/>
        <w:jc w:val="center"/>
        <w:rPr>
          <w:rFonts w:ascii="Times New Roman" w:eastAsia="Times New Roman" w:hAnsi="Times New Roman" w:cs="Times New Roman"/>
          <w:b/>
          <w:bCs/>
          <w:sz w:val="22"/>
          <w:szCs w:val="22"/>
        </w:rPr>
      </w:pPr>
    </w:p>
    <w:p w:rsidR="008813A3" w:rsidRDefault="008813A3">
      <w:pPr>
        <w:ind w:left="1400" w:hanging="700"/>
        <w:jc w:val="center"/>
        <w:rPr>
          <w:rFonts w:ascii="Times New Roman" w:eastAsia="Times New Roman" w:hAnsi="Times New Roman" w:cs="Times New Roman"/>
          <w:b/>
          <w:bCs/>
          <w:sz w:val="22"/>
          <w:szCs w:val="22"/>
        </w:rPr>
      </w:pPr>
    </w:p>
    <w:p w:rsidR="008813A3" w:rsidRDefault="008813A3">
      <w:pPr>
        <w:ind w:left="1400" w:hanging="700"/>
        <w:jc w:val="center"/>
        <w:rPr>
          <w:rFonts w:ascii="Times New Roman" w:eastAsia="Times New Roman" w:hAnsi="Times New Roman" w:cs="Times New Roman"/>
          <w:b/>
          <w:bCs/>
          <w:sz w:val="22"/>
          <w:szCs w:val="22"/>
        </w:rPr>
      </w:pPr>
    </w:p>
    <w:p w:rsidR="008813A3" w:rsidRDefault="008813A3">
      <w:pPr>
        <w:ind w:left="1400" w:hanging="700"/>
        <w:jc w:val="center"/>
        <w:rPr>
          <w:rFonts w:ascii="Times New Roman" w:eastAsia="Times New Roman" w:hAnsi="Times New Roman" w:cs="Times New Roman"/>
          <w:b/>
          <w:bCs/>
          <w:sz w:val="22"/>
          <w:szCs w:val="22"/>
        </w:rPr>
      </w:pPr>
    </w:p>
    <w:p w:rsidR="008813A3" w:rsidRDefault="008813A3">
      <w:pPr>
        <w:rPr>
          <w:rFonts w:ascii="Times New Roman" w:eastAsia="Times New Roman" w:hAnsi="Times New Roman" w:cs="Times New Roman"/>
          <w:b/>
          <w:bCs/>
          <w:sz w:val="22"/>
          <w:szCs w:val="22"/>
        </w:rPr>
      </w:pPr>
    </w:p>
    <w:p w:rsidR="008813A3" w:rsidRDefault="008813A3">
      <w:pPr>
        <w:rPr>
          <w:rFonts w:ascii="Times New Roman" w:eastAsia="Times New Roman" w:hAnsi="Times New Roman" w:cs="Times New Roman"/>
          <w:b/>
          <w:bCs/>
          <w:sz w:val="22"/>
          <w:szCs w:val="22"/>
        </w:rPr>
      </w:pPr>
    </w:p>
    <w:p w:rsidR="008813A3" w:rsidRDefault="00ED01C9">
      <w:pPr>
        <w:ind w:left="1400" w:hanging="700"/>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lastRenderedPageBreak/>
        <w:t>PROYECTO DE ACUERDO No.</w:t>
      </w:r>
      <w:r w:rsidR="004B3D6A">
        <w:rPr>
          <w:rFonts w:ascii="Times New Roman" w:eastAsia="Times New Roman" w:hAnsi="Times New Roman" w:cs="Times New Roman"/>
          <w:b/>
          <w:bCs/>
          <w:sz w:val="22"/>
          <w:szCs w:val="22"/>
        </w:rPr>
        <w:t xml:space="preserve"> 116</w:t>
      </w:r>
      <w:r>
        <w:rPr>
          <w:rFonts w:ascii="Times New Roman" w:eastAsia="Times New Roman" w:hAnsi="Times New Roman" w:cs="Times New Roman"/>
          <w:b/>
          <w:bCs/>
          <w:sz w:val="22"/>
          <w:szCs w:val="22"/>
        </w:rPr>
        <w:t xml:space="preserve"> </w:t>
      </w:r>
      <w:bookmarkStart w:id="1" w:name="_GoBack"/>
      <w:bookmarkEnd w:id="1"/>
      <w:r>
        <w:rPr>
          <w:rFonts w:ascii="Times New Roman" w:eastAsia="Times New Roman" w:hAnsi="Times New Roman" w:cs="Times New Roman"/>
          <w:b/>
          <w:bCs/>
          <w:sz w:val="22"/>
          <w:szCs w:val="22"/>
        </w:rPr>
        <w:t>DE 2026</w:t>
      </w:r>
    </w:p>
    <w:p w:rsidR="008813A3" w:rsidRDefault="008813A3">
      <w:pPr>
        <w:jc w:val="center"/>
        <w:rPr>
          <w:rFonts w:ascii="Times New Roman" w:eastAsia="Times New Roman" w:hAnsi="Times New Roman" w:cs="Times New Roman"/>
          <w:b/>
          <w:bCs/>
          <w:sz w:val="22"/>
          <w:szCs w:val="22"/>
        </w:rPr>
      </w:pPr>
    </w:p>
    <w:p w:rsidR="008813A3" w:rsidRDefault="00ED01C9">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"POR MEDIO DEL CUAL SE CREA LA FERIA DE TALENTOS PARA NIÑOS, NIÑAS Y ADOLESCENTES, “BOGOTÁ, LA CAPITAL DEL TALENTO INFANTIL” EN EL DISTRITO CAPITAL"</w:t>
      </w:r>
    </w:p>
    <w:p w:rsidR="008813A3" w:rsidRDefault="008813A3">
      <w:pPr>
        <w:jc w:val="center"/>
        <w:rPr>
          <w:rFonts w:ascii="Times New Roman" w:eastAsia="Times New Roman" w:hAnsi="Times New Roman" w:cs="Times New Roman"/>
          <w:b/>
          <w:bCs/>
          <w:sz w:val="22"/>
          <w:szCs w:val="22"/>
        </w:rPr>
      </w:pPr>
    </w:p>
    <w:p w:rsidR="008813A3" w:rsidRDefault="00ED01C9">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EXPOSICIÓN DE MOTIVOS</w:t>
      </w:r>
    </w:p>
    <w:p w:rsidR="008813A3" w:rsidRDefault="00ED01C9">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rsidR="008813A3" w:rsidRDefault="00ED01C9">
      <w:pPr>
        <w:numPr>
          <w:ilvl w:val="0"/>
          <w:numId w:val="1"/>
        </w:num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OBJETO DEL PROYECTO DE ACUERDO</w:t>
      </w:r>
    </w:p>
    <w:p w:rsidR="008813A3" w:rsidRDefault="008813A3">
      <w:pPr>
        <w:ind w:left="360"/>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presente proyecto de acuerdo tiene por objeto impulsar la participación activa y la visibilización de los talentos de niños, niñas, adolescentes y jóvenes en diversos campos artísticos, culturales, científicos, deportivos y tecnológicos, para su desarrollo integral y reconocimiento en la sociedad se a través de la creación de la Feria de Talentos "Bogotá, la Capital del Talento Infantil" como un evento de interés cultural de carácter distrital.</w:t>
      </w:r>
    </w:p>
    <w:p w:rsidR="008813A3" w:rsidRDefault="008813A3">
      <w:pPr>
        <w:jc w:val="both"/>
        <w:rPr>
          <w:rFonts w:ascii="Times New Roman" w:eastAsia="Times New Roman" w:hAnsi="Times New Roman" w:cs="Times New Roman"/>
          <w:sz w:val="22"/>
          <w:szCs w:val="22"/>
        </w:rPr>
      </w:pPr>
    </w:p>
    <w:p w:rsidR="008813A3" w:rsidRDefault="00ED01C9">
      <w:pPr>
        <w:numPr>
          <w:ilvl w:val="0"/>
          <w:numId w:val="1"/>
        </w:numPr>
        <w:pBdr>
          <w:top w:val="nil"/>
          <w:left w:val="nil"/>
          <w:bottom w:val="nil"/>
          <w:right w:val="nil"/>
          <w:between w:val="nil"/>
        </w:pBdr>
        <w:jc w:val="both"/>
        <w:rPr>
          <w:rFonts w:ascii="Times New Roman" w:eastAsia="Times New Roman" w:hAnsi="Times New Roman" w:cs="Times New Roman"/>
          <w:sz w:val="22"/>
          <w:szCs w:val="22"/>
          <w:highlight w:val="white"/>
        </w:rPr>
      </w:pPr>
      <w:r>
        <w:rPr>
          <w:rFonts w:ascii="Times New Roman" w:eastAsia="Times New Roman" w:hAnsi="Times New Roman" w:cs="Times New Roman"/>
          <w:b/>
          <w:bCs/>
          <w:sz w:val="22"/>
          <w:szCs w:val="22"/>
        </w:rPr>
        <w:t>SUSTENTO JURÍDICO DE LA INICIATIVA</w:t>
      </w:r>
    </w:p>
    <w:p w:rsidR="008813A3" w:rsidRDefault="008813A3">
      <w:pPr>
        <w:pBdr>
          <w:top w:val="nil"/>
          <w:left w:val="nil"/>
          <w:bottom w:val="nil"/>
          <w:right w:val="nil"/>
          <w:between w:val="nil"/>
        </w:pBdr>
        <w:ind w:left="1080"/>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El presente Proyecto de Acuerdo se encuentra fundamentado en las siguientes disposiciones legales: </w:t>
      </w:r>
    </w:p>
    <w:p w:rsidR="008813A3" w:rsidRDefault="008813A3">
      <w:pPr>
        <w:pBdr>
          <w:top w:val="nil"/>
          <w:left w:val="nil"/>
          <w:bottom w:val="nil"/>
          <w:right w:val="nil"/>
          <w:between w:val="nil"/>
        </w:pBdr>
        <w:ind w:left="1080"/>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720"/>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Del orden Constitucional: </w:t>
      </w:r>
    </w:p>
    <w:p w:rsidR="008813A3" w:rsidRDefault="008813A3">
      <w:pPr>
        <w:pBdr>
          <w:top w:val="nil"/>
          <w:left w:val="nil"/>
          <w:bottom w:val="nil"/>
          <w:right w:val="nil"/>
          <w:between w:val="nil"/>
        </w:pBdr>
        <w:ind w:left="720"/>
        <w:jc w:val="both"/>
        <w:rPr>
          <w:rFonts w:ascii="Times New Roman" w:eastAsia="Times New Roman" w:hAnsi="Times New Roman" w:cs="Times New Roman"/>
          <w:b/>
          <w:bCs/>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Artículo 2. Son fines esenciales del Estado. </w:t>
      </w:r>
      <w:r>
        <w:rPr>
          <w:rFonts w:ascii="Times New Roman" w:eastAsia="Times New Roman" w:hAnsi="Times New Roman" w:cs="Times New Roman"/>
          <w:i/>
          <w:iCs/>
          <w:sz w:val="22"/>
          <w:szCs w:val="22"/>
        </w:rPr>
        <w:t>(...)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Artículo 44. Son derechos fundamentales de los niños.</w:t>
      </w:r>
      <w:r>
        <w:rPr>
          <w:rFonts w:ascii="Times New Roman" w:eastAsia="Times New Roman" w:hAnsi="Times New Roman" w:cs="Times New Roman"/>
          <w:i/>
          <w:iCs/>
          <w:sz w:val="22"/>
          <w:szCs w:val="22"/>
        </w:rPr>
        <w:t xml:space="preserve"> la vida, la integridad física, la salud, (...) </w:t>
      </w:r>
      <w:r>
        <w:rPr>
          <w:rFonts w:ascii="Times New Roman" w:eastAsia="Times New Roman" w:hAnsi="Times New Roman" w:cs="Times New Roman"/>
          <w:i/>
          <w:iCs/>
          <w:sz w:val="22"/>
          <w:szCs w:val="22"/>
          <w:u w:val="single"/>
        </w:rPr>
        <w:t>la educación y la cultura, la recreación y la libre expresión de su opinión.</w:t>
      </w:r>
      <w:r>
        <w:rPr>
          <w:rFonts w:ascii="Times New Roman" w:eastAsia="Times New Roman" w:hAnsi="Times New Roman" w:cs="Times New Roman"/>
          <w:i/>
          <w:iCs/>
          <w:sz w:val="22"/>
          <w:szCs w:val="22"/>
        </w:rPr>
        <w:t xml:space="preserve">  (...) Gozarán también de los demás derechos consagrados en la Constitución, en las leyes y en los tratados internacionales ratificados por Colombia. La familia, la sociedad y el Estado tienen la obligación de asistir y proteger al niño para garantizar su desarrollo armónico e integral y el ejercicio pleno de sus derechos. Cualquier persona puede exigir de la autoridad competente su cumplimiento y la sanción de los infractores. Los derechos de los niños prevalecen sobre los derechos de los demás.</w:t>
      </w:r>
    </w:p>
    <w:p w:rsidR="008813A3" w:rsidRDefault="008813A3">
      <w:pPr>
        <w:jc w:val="both"/>
        <w:rPr>
          <w:rFonts w:ascii="Times New Roman" w:eastAsia="Times New Roman" w:hAnsi="Times New Roman" w:cs="Times New Roman"/>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Artículo 71. Expresión Artística. </w:t>
      </w:r>
      <w:r>
        <w:rPr>
          <w:rFonts w:ascii="Times New Roman" w:eastAsia="Times New Roman" w:hAnsi="Times New Roman" w:cs="Times New Roman"/>
          <w:i/>
          <w:iCs/>
          <w:sz w:val="22"/>
          <w:szCs w:val="22"/>
        </w:rPr>
        <w:t>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w:t>
      </w:r>
    </w:p>
    <w:p w:rsidR="008813A3" w:rsidRDefault="008813A3">
      <w:pPr>
        <w:jc w:val="both"/>
        <w:rPr>
          <w:rFonts w:ascii="Times New Roman" w:eastAsia="Times New Roman" w:hAnsi="Times New Roman" w:cs="Times New Roman"/>
          <w:i/>
          <w:iCs/>
          <w:sz w:val="22"/>
          <w:szCs w:val="22"/>
        </w:rPr>
      </w:pPr>
    </w:p>
    <w:p w:rsidR="008813A3" w:rsidRDefault="00ED01C9">
      <w:pPr>
        <w:ind w:left="720"/>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lastRenderedPageBreak/>
        <w:t>De orden legal:</w:t>
      </w:r>
      <w:r>
        <w:rPr>
          <w:rFonts w:ascii="Times New Roman" w:eastAsia="Times New Roman" w:hAnsi="Times New Roman" w:cs="Times New Roman"/>
          <w:sz w:val="22"/>
          <w:szCs w:val="22"/>
        </w:rPr>
        <w:t xml:space="preserve"> </w:t>
      </w:r>
    </w:p>
    <w:p w:rsidR="008813A3" w:rsidRDefault="008813A3">
      <w:pPr>
        <w:ind w:left="720"/>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Ley 1098 DE 2006. “Por la cual se expide el Código de la Infancia y la Adolescencia” </w:t>
      </w:r>
    </w:p>
    <w:p w:rsidR="008813A3" w:rsidRDefault="008813A3">
      <w:pPr>
        <w:jc w:val="both"/>
        <w:rPr>
          <w:rFonts w:ascii="Times New Roman" w:eastAsia="Times New Roman" w:hAnsi="Times New Roman" w:cs="Times New Roman"/>
          <w:b/>
          <w:bCs/>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ARTíCULO 17. DERECHO A LA VIDA Y A LA CALIDAD DE VIDA Y A UN AMBIENTE SANO. </w:t>
      </w:r>
      <w:r>
        <w:rPr>
          <w:rFonts w:ascii="Times New Roman" w:eastAsia="Times New Roman" w:hAnsi="Times New Roman" w:cs="Times New Roman"/>
          <w:i/>
          <w:iCs/>
          <w:sz w:val="22"/>
          <w:szCs w:val="22"/>
        </w:rPr>
        <w:t xml:space="preserve">(...) La calidad de vida es esencial para su desarrollo integral acorde con la dignidad de ser humano. Este derecho supone la generación de condiciones que les aseguren desde la concepción cuidado, protección, alimentación nutritiva y equilibrada, acceso a los servicios de salud, educación, vestuario adecuado, recreación y vivienda segura dotada de servicios públicos esenciales en un ambiente sano. </w:t>
      </w:r>
      <w:r>
        <w:rPr>
          <w:rFonts w:ascii="Times New Roman" w:eastAsia="Times New Roman" w:hAnsi="Times New Roman" w:cs="Times New Roman"/>
          <w:b/>
          <w:bCs/>
          <w:i/>
          <w:iCs/>
          <w:sz w:val="22"/>
          <w:szCs w:val="22"/>
        </w:rPr>
        <w:t>PARÁGRAFO.</w:t>
      </w:r>
      <w:r>
        <w:rPr>
          <w:rFonts w:ascii="Times New Roman" w:eastAsia="Times New Roman" w:hAnsi="Times New Roman" w:cs="Times New Roman"/>
          <w:i/>
          <w:iCs/>
          <w:sz w:val="22"/>
          <w:szCs w:val="22"/>
        </w:rPr>
        <w:t xml:space="preserve"> El Estado desarrollará políticas públicas orientadas hacia el fortalecimiento de la primera infancia.</w:t>
      </w:r>
    </w:p>
    <w:p w:rsidR="008813A3" w:rsidRDefault="008813A3">
      <w:pPr>
        <w:jc w:val="both"/>
        <w:rPr>
          <w:rFonts w:ascii="Times New Roman" w:eastAsia="Times New Roman" w:hAnsi="Times New Roman" w:cs="Times New Roman"/>
          <w:sz w:val="22"/>
          <w:szCs w:val="22"/>
        </w:rPr>
      </w:pPr>
    </w:p>
    <w:p w:rsidR="008813A3" w:rsidRDefault="00ED01C9">
      <w:pPr>
        <w:ind w:left="720"/>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De orden Distrital: </w:t>
      </w:r>
    </w:p>
    <w:p w:rsidR="008813A3" w:rsidRDefault="008813A3">
      <w:pPr>
        <w:ind w:left="720"/>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DECRETO 340 DE 2020 POR EL CUAL SE MODIFICA LA ESTRUCTURA ORGANIZACIONAL DE LA SECRETARÍA DISTRITAL DE CULTURA, RECREACIÓN Y DEPORTE Y SE DICTAN OTRAS DISPOSICIONES:</w:t>
      </w:r>
    </w:p>
    <w:p w:rsidR="008813A3" w:rsidRDefault="008813A3">
      <w:pPr>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Artículo 1. Naturaleza. </w:t>
      </w:r>
      <w:r>
        <w:rPr>
          <w:rFonts w:ascii="Times New Roman" w:eastAsia="Times New Roman" w:hAnsi="Times New Roman" w:cs="Times New Roman"/>
          <w:i/>
          <w:iCs/>
          <w:sz w:val="22"/>
          <w:szCs w:val="22"/>
        </w:rPr>
        <w:t>La Secretaría Distrital de Cultura, Recreación y Deporte, perteneciente al Sector Cultura, Recreación y Deporte, es un organismo del Sector Central con autonomía administrativa y financiera.</w:t>
      </w:r>
    </w:p>
    <w:p w:rsidR="008813A3" w:rsidRDefault="008813A3">
      <w:pPr>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Artículo 2. Objeto. </w:t>
      </w:r>
      <w:r>
        <w:rPr>
          <w:rFonts w:ascii="Times New Roman" w:eastAsia="Times New Roman" w:hAnsi="Times New Roman" w:cs="Times New Roman"/>
          <w:i/>
          <w:iCs/>
          <w:sz w:val="22"/>
          <w:szCs w:val="22"/>
        </w:rPr>
        <w:t>La Secretaría Distrital de Cultura, Recreación y Deporte tiene por objeto orientar y liderar la formulación concertada de políticas, planes y programas en los campos cultural, patrimonial, recreativo y deportivo del Distrito Capital en coordinación con la Secretaría Distrital de Planeación y con la participación de las entidades a ella adscritas y vinculada y la sociedad civil.</w:t>
      </w:r>
    </w:p>
    <w:p w:rsidR="008813A3" w:rsidRDefault="008813A3">
      <w:pPr>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 xml:space="preserve">Artículo 3. Funciones. </w:t>
      </w:r>
      <w:r>
        <w:rPr>
          <w:rFonts w:ascii="Times New Roman" w:eastAsia="Times New Roman" w:hAnsi="Times New Roman" w:cs="Times New Roman"/>
          <w:sz w:val="22"/>
          <w:szCs w:val="22"/>
        </w:rPr>
        <w:t>La Secretaría Distrital de Cultura, Recreación y Deporte, tendrá las siguientes funciones básicas:</w:t>
      </w:r>
    </w:p>
    <w:p w:rsidR="008813A3" w:rsidRDefault="008813A3">
      <w:pPr>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a. </w:t>
      </w:r>
      <w:r>
        <w:rPr>
          <w:rFonts w:ascii="Times New Roman" w:eastAsia="Times New Roman" w:hAnsi="Times New Roman" w:cs="Times New Roman"/>
          <w:i/>
          <w:iCs/>
          <w:sz w:val="22"/>
          <w:szCs w:val="22"/>
        </w:rPr>
        <w:t>Formular estrategias para garantizar la conservación y enriquecimiento de la creación y expresiones culturales propias de la ciudad diversa en su conformación étnica, socio cultural e histórica.</w:t>
      </w:r>
    </w:p>
    <w:p w:rsidR="008813A3" w:rsidRDefault="008813A3">
      <w:pPr>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b. </w:t>
      </w:r>
      <w:r>
        <w:rPr>
          <w:rFonts w:ascii="Times New Roman" w:eastAsia="Times New Roman" w:hAnsi="Times New Roman" w:cs="Times New Roman"/>
          <w:i/>
          <w:iCs/>
          <w:sz w:val="22"/>
          <w:szCs w:val="22"/>
        </w:rPr>
        <w:t>Diseñar estrategias de divulgación y conservación del patrimonio cultural tangible e intangible.</w:t>
      </w:r>
    </w:p>
    <w:p w:rsidR="008813A3" w:rsidRDefault="008813A3">
      <w:pPr>
        <w:jc w:val="both"/>
        <w:rPr>
          <w:rFonts w:ascii="Times New Roman" w:eastAsia="Times New Roman" w:hAnsi="Times New Roman" w:cs="Times New Roman"/>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w:t>
      </w:r>
    </w:p>
    <w:p w:rsidR="008813A3" w:rsidRDefault="008813A3">
      <w:pPr>
        <w:jc w:val="both"/>
        <w:rPr>
          <w:rFonts w:ascii="Times New Roman" w:eastAsia="Times New Roman" w:hAnsi="Times New Roman" w:cs="Times New Roman"/>
          <w:i/>
          <w:iCs/>
          <w:sz w:val="22"/>
          <w:szCs w:val="22"/>
        </w:rPr>
      </w:pPr>
    </w:p>
    <w:p w:rsidR="008813A3" w:rsidRDefault="00ED01C9">
      <w:pPr>
        <w:jc w:val="both"/>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DECRETO 599 DE 2013 “POR EL CUAL SE ESTABLECEN LOS REQUISITOS PARA EL REGISTRO, LA EVALUACIÓN Y LA EXPEDICIÓN DE LA AUTORIZACIÓN PARA LA REALIZACIÓN DE LAS ACTIVIDADES DE AGLOMERACIÓN DE PÚBLICO EN EL DISTRITO CAPITAL, A TRAVÉS DEL SISTEMA ÚNICO DE GESTIÓN PARA EL </w:t>
      </w:r>
      <w:r>
        <w:rPr>
          <w:rFonts w:ascii="Times New Roman" w:eastAsia="Times New Roman" w:hAnsi="Times New Roman" w:cs="Times New Roman"/>
          <w:b/>
          <w:bCs/>
          <w:i/>
          <w:iCs/>
          <w:sz w:val="22"/>
          <w:szCs w:val="22"/>
        </w:rPr>
        <w:lastRenderedPageBreak/>
        <w:t>REGISTRO, EVALUACIÓN Y AUTORIZACIÓN DE ACTIVIDADES DE AGLOMERACIÓN DE PÚBLICO EN EL DISTRITO CAPITAL –SUGA Y SE DICTAN OTRAS DISPOSICIONES”:</w:t>
      </w:r>
    </w:p>
    <w:p w:rsidR="008813A3" w:rsidRDefault="008813A3">
      <w:pPr>
        <w:jc w:val="both"/>
        <w:rPr>
          <w:rFonts w:ascii="Times New Roman" w:eastAsia="Times New Roman" w:hAnsi="Times New Roman" w:cs="Times New Roman"/>
          <w:b/>
          <w:bCs/>
          <w:i/>
          <w:iCs/>
          <w:sz w:val="22"/>
          <w:szCs w:val="22"/>
        </w:rPr>
      </w:pPr>
    </w:p>
    <w:p w:rsidR="008813A3" w:rsidRDefault="00ED01C9">
      <w:pPr>
        <w:jc w:val="both"/>
        <w:rPr>
          <w:rFonts w:ascii="Times New Roman" w:eastAsia="Times New Roman" w:hAnsi="Times New Roman" w:cs="Times New Roman"/>
          <w:b/>
          <w:bCs/>
          <w:i/>
          <w:iCs/>
          <w:sz w:val="22"/>
          <w:szCs w:val="22"/>
        </w:rPr>
      </w:pPr>
      <w:r>
        <w:rPr>
          <w:rFonts w:ascii="Times New Roman" w:eastAsia="Times New Roman" w:hAnsi="Times New Roman" w:cs="Times New Roman"/>
          <w:b/>
          <w:bCs/>
          <w:i/>
          <w:iCs/>
          <w:sz w:val="22"/>
          <w:szCs w:val="22"/>
        </w:rPr>
        <w:t xml:space="preserve">Artículo 1. Objeto. El presente decreto tiene por objeto: </w:t>
      </w:r>
    </w:p>
    <w:p w:rsidR="008813A3" w:rsidRDefault="008813A3">
      <w:pPr>
        <w:jc w:val="both"/>
        <w:rPr>
          <w:rFonts w:ascii="Times New Roman" w:eastAsia="Times New Roman" w:hAnsi="Times New Roman" w:cs="Times New Roman"/>
          <w:b/>
          <w:bCs/>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1. </w:t>
      </w:r>
      <w:r>
        <w:rPr>
          <w:rFonts w:ascii="Times New Roman" w:eastAsia="Times New Roman" w:hAnsi="Times New Roman" w:cs="Times New Roman"/>
          <w:i/>
          <w:iCs/>
          <w:sz w:val="22"/>
          <w:szCs w:val="22"/>
        </w:rPr>
        <w:t>Establecer el funcionamiento e integración del Sistema Único de Gestión para el Registro, Evaluación y Autorización de Actividades de Aglomeración de Público en el Distrito Capital, en adelante y para efectos de lo previsto en este decreto se denominará - SUGA y se adopta la ventanilla única virtual.</w:t>
      </w:r>
    </w:p>
    <w:p w:rsidR="008813A3" w:rsidRDefault="008813A3">
      <w:pPr>
        <w:jc w:val="both"/>
        <w:rPr>
          <w:rFonts w:ascii="Times New Roman" w:eastAsia="Times New Roman" w:hAnsi="Times New Roman" w:cs="Times New Roman"/>
          <w:b/>
          <w:bCs/>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2. </w:t>
      </w:r>
      <w:r>
        <w:rPr>
          <w:rFonts w:ascii="Times New Roman" w:eastAsia="Times New Roman" w:hAnsi="Times New Roman" w:cs="Times New Roman"/>
          <w:i/>
          <w:iCs/>
          <w:sz w:val="22"/>
          <w:szCs w:val="22"/>
        </w:rPr>
        <w:t>Crear el Comité del Sistema Único de Gestión para el Registro, Evaluación y Autorización de Actividades de Aglomeración de Público en el Distrito Capital - SUGA y establecer sus funciones.</w:t>
      </w:r>
    </w:p>
    <w:p w:rsidR="008813A3" w:rsidRDefault="008813A3">
      <w:pPr>
        <w:jc w:val="both"/>
        <w:rPr>
          <w:rFonts w:ascii="Times New Roman" w:eastAsia="Times New Roman" w:hAnsi="Times New Roman" w:cs="Times New Roman"/>
          <w:b/>
          <w:bCs/>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3. </w:t>
      </w:r>
      <w:r>
        <w:rPr>
          <w:rFonts w:ascii="Times New Roman" w:eastAsia="Times New Roman" w:hAnsi="Times New Roman" w:cs="Times New Roman"/>
          <w:i/>
          <w:iCs/>
          <w:sz w:val="22"/>
          <w:szCs w:val="22"/>
        </w:rPr>
        <w:t>Determinar las características y clasificación de las aglomeraciones de público, así como los requisitos para el registro, la evaluación y la expedición de la autorización para la realización de las actividades que impliquen aglomeraciones de público en el Distrito Capital, a través de la ventanilla del SUGA. Así como los procedimientos que se deben observar para la habilitación de escenarios de artes escénicas.</w:t>
      </w:r>
    </w:p>
    <w:p w:rsidR="008813A3" w:rsidRDefault="008813A3">
      <w:pPr>
        <w:jc w:val="both"/>
        <w:rPr>
          <w:rFonts w:ascii="Times New Roman" w:eastAsia="Times New Roman" w:hAnsi="Times New Roman" w:cs="Times New Roman"/>
          <w:i/>
          <w:iCs/>
          <w:sz w:val="22"/>
          <w:szCs w:val="22"/>
        </w:rPr>
      </w:pPr>
    </w:p>
    <w:p w:rsidR="008813A3" w:rsidRDefault="00ED01C9">
      <w:pPr>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4.</w:t>
      </w:r>
      <w:r>
        <w:rPr>
          <w:rFonts w:ascii="Times New Roman" w:eastAsia="Times New Roman" w:hAnsi="Times New Roman" w:cs="Times New Roman"/>
          <w:i/>
          <w:iCs/>
          <w:sz w:val="22"/>
          <w:szCs w:val="22"/>
        </w:rPr>
        <w:t xml:space="preserve"> Establecer los requisitos y procedimiento para la realización de espectáculos públicos de las artes escénicas en escenarios no habilitados, en espacio público, en estadios y demás escenarios deportivos.</w:t>
      </w:r>
    </w:p>
    <w:p w:rsidR="008813A3" w:rsidRDefault="008813A3">
      <w:pPr>
        <w:pBdr>
          <w:top w:val="nil"/>
          <w:left w:val="nil"/>
          <w:bottom w:val="nil"/>
          <w:right w:val="nil"/>
          <w:between w:val="nil"/>
        </w:pBdr>
        <w:ind w:left="1080"/>
        <w:jc w:val="both"/>
        <w:rPr>
          <w:rFonts w:ascii="Times New Roman" w:eastAsia="Times New Roman" w:hAnsi="Times New Roman" w:cs="Times New Roman"/>
          <w:sz w:val="22"/>
          <w:szCs w:val="22"/>
          <w:highlight w:val="white"/>
        </w:rPr>
      </w:pPr>
    </w:p>
    <w:p w:rsidR="008813A3" w:rsidRDefault="00ED01C9">
      <w:pPr>
        <w:numPr>
          <w:ilvl w:val="0"/>
          <w:numId w:val="1"/>
        </w:numPr>
        <w:pBdr>
          <w:top w:val="nil"/>
          <w:left w:val="nil"/>
          <w:bottom w:val="nil"/>
          <w:right w:val="nil"/>
          <w:between w:val="nil"/>
        </w:pBdr>
        <w:jc w:val="both"/>
        <w:rPr>
          <w:rFonts w:ascii="Times New Roman" w:eastAsia="Times New Roman" w:hAnsi="Times New Roman" w:cs="Times New Roman"/>
          <w:sz w:val="22"/>
          <w:szCs w:val="22"/>
          <w:highlight w:val="white"/>
        </w:rPr>
      </w:pPr>
      <w:r>
        <w:rPr>
          <w:rFonts w:ascii="Times New Roman" w:eastAsia="Times New Roman" w:hAnsi="Times New Roman" w:cs="Times New Roman"/>
          <w:b/>
          <w:bCs/>
          <w:sz w:val="22"/>
          <w:szCs w:val="22"/>
        </w:rPr>
        <w:t>JUSTIFICACIÓN DEL PROYECTO</w:t>
      </w:r>
    </w:p>
    <w:p w:rsidR="008813A3" w:rsidRDefault="008813A3">
      <w:pPr>
        <w:pBdr>
          <w:top w:val="nil"/>
          <w:left w:val="nil"/>
          <w:bottom w:val="nil"/>
          <w:right w:val="nil"/>
          <w:between w:val="nil"/>
        </w:pBdr>
        <w:ind w:left="1080"/>
        <w:jc w:val="both"/>
        <w:rPr>
          <w:rFonts w:ascii="Times New Roman" w:eastAsia="Times New Roman" w:hAnsi="Times New Roman" w:cs="Times New Roman"/>
          <w:b/>
          <w:bCs/>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 nivel nacional y distrital, se han implementado diversas estrategias para fomentar las habilidades y potencialidades de aquellos individuos destacados que, debido a sus características particulares, requieren de una orientación y apoyo específicos. En este contexto, la ciudad de Bogotá debe estimular estos talentos en niños, niñas y adolescentes para asegurar su pleno desarrollo.</w:t>
      </w:r>
    </w:p>
    <w:p w:rsidR="008813A3" w:rsidRDefault="008813A3">
      <w:pPr>
        <w:pBdr>
          <w:top w:val="nil"/>
          <w:left w:val="nil"/>
          <w:bottom w:val="nil"/>
          <w:right w:val="nil"/>
          <w:between w:val="nil"/>
        </w:pBdr>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720"/>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 xml:space="preserve">“Todo colegio tiene estudiantes que poseen elevado potencial para el aprendizaje en niveles avanzados, la solución de problemas creativos y la motivación para seguir un trabajo de excelencia y rigor. Más que fuentes de adquisición de información, los colegios deben ser lugares para el desarrollo de talentos en todos sus estudiantes. (…) Los métodos tradicionales de escolaridad pueden llevar al fracaso la intención de hacer de los colegios lugares de desarrollo de experiencias enriquecedoras para el talento creativo de los jóvenes. (…) El Modelo de Enriquecimiento Escolar comprende estrategias para incrementar el esfuerzo del estudiante, su gozo y desempeño, así como para integrar un rango de </w:t>
      </w:r>
      <w:r>
        <w:rPr>
          <w:rFonts w:ascii="Times New Roman" w:eastAsia="Times New Roman" w:hAnsi="Times New Roman" w:cs="Times New Roman"/>
          <w:i/>
          <w:iCs/>
          <w:sz w:val="22"/>
          <w:szCs w:val="22"/>
        </w:rPr>
        <w:lastRenderedPageBreak/>
        <w:t>experiencias de aprendizaje de nivel avanzado, junto con destrezas de pensamiento, en todas las áreas curriculares.”</w:t>
      </w:r>
      <w:r>
        <w:rPr>
          <w:rFonts w:ascii="Times New Roman" w:eastAsia="Times New Roman" w:hAnsi="Times New Roman" w:cs="Times New Roman"/>
          <w:i/>
          <w:iCs/>
          <w:sz w:val="22"/>
          <w:szCs w:val="22"/>
          <w:vertAlign w:val="superscript"/>
        </w:rPr>
        <w:footnoteReference w:id="1"/>
      </w:r>
    </w:p>
    <w:p w:rsidR="008813A3" w:rsidRDefault="008813A3">
      <w:pPr>
        <w:pBdr>
          <w:top w:val="nil"/>
          <w:left w:val="nil"/>
          <w:bottom w:val="nil"/>
          <w:right w:val="nil"/>
          <w:between w:val="nil"/>
        </w:pBdr>
        <w:ind w:left="360"/>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Las actividades lúdicas, cuando se integran en el ámbito distrital, se convierten en una herramienta fundamental para acercar a los niños a aprendizajes significativos en entornos agradables y atractivos. Esto favorece el desarrollo de sus habilidades de manera natural. Como resultado, se generan niños felices, con habilidades fortalecidas, afectuosos, dispuestos a participar en el aula, curiosos y creativos. Estos ambientes también promueven la ampliación del vocabulario y mejoran la convivencia, lo que, a su vez, capta el interés de las familias, incentivando su participación en eventos de la comunidad.</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Es vital considerar la feria lúdico-pedagógica como un espacio adecuado para reflexionar sobre los métodos, significados y didácticas involucrados en los procesos educativos y de formación infantil. Además, ofrece una oportunidad para analizar críticamente los aprendizajes de los estudiantes de la licenciatura en educación. Bajo estas circunstancias, el análisis en torno a la feria lúdico-pedagógica permite profundizar en las competencias que deben desarrollar los futuros profesionales de la educación, entendiendo que una formación coherente de los educadores de la etapa infantil contribuye de manera significativa al desarrollo integral de la primera infancia.</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Bogotá, aunque existen numerosos eventos masivos que buscan integrar y destacar talentos y habilidades en diversas áreas, muchos de ellos carecen de una participación integral de niños, niñas y adolescentes. Estos eventos suelen centrarse en el público adulto o en competencias específicas que no siempre consideran el potencial y las capacidades de los más jóvenes.</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La falta de inclusión de niños, niñas y adolescentes en estos eventos representa una oportunidad perdida para fomentar su desarrollo y visibilizar su creatividad, talento y habilidades. Bien lo ha señalado la Corte Constitucional en Sentencia C-449-03 al precisar la importancia que tiene la actividad recreativa y deportiva en el desarrollo integral del ser humano y en la promoción social de la comunidad, la cual se destaca en mayor medida el propio ordenamiento Superior al reconocer expresamente que dicha actividad reviste el carácter de derecho fundamental y prevalente en el caso de los niños. Por lo tanto, integrar a este grupo en la programación de eventos masivos no sólo enriquecerá la experiencia colectiva, sino que también permitirá construir una sociedad más equitativa, donde se valore y promueva el aporte de las nuevas generaciones en todos los ámbitos de la cultura, el deporte, el arte y la tecnología.</w:t>
      </w:r>
    </w:p>
    <w:p w:rsidR="008813A3" w:rsidRDefault="008813A3">
      <w:pPr>
        <w:pBdr>
          <w:top w:val="nil"/>
          <w:left w:val="nil"/>
          <w:bottom w:val="nil"/>
          <w:right w:val="nil"/>
          <w:between w:val="nil"/>
        </w:pBdr>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Como sucede con el </w:t>
      </w:r>
      <w:r>
        <w:rPr>
          <w:rFonts w:ascii="Times New Roman" w:eastAsia="Times New Roman" w:hAnsi="Times New Roman" w:cs="Times New Roman"/>
          <w:i/>
          <w:iCs/>
          <w:sz w:val="22"/>
          <w:szCs w:val="22"/>
        </w:rPr>
        <w:t xml:space="preserve">Festival de Talentos ‘Jóvenes capaces’ con más de 10.000 estudiantes. </w:t>
      </w:r>
      <w:r>
        <w:rPr>
          <w:rFonts w:ascii="Times New Roman" w:eastAsia="Times New Roman" w:hAnsi="Times New Roman" w:cs="Times New Roman"/>
          <w:sz w:val="22"/>
          <w:szCs w:val="22"/>
        </w:rPr>
        <w:t xml:space="preserve">El evento se desarrolla en una jornada única con 210 instituciones educativas con una participación de 132.712 estudiantes, y la jornada extendida se implementa en 305 colegios con una participación de </w:t>
      </w:r>
      <w:r>
        <w:rPr>
          <w:rFonts w:ascii="Times New Roman" w:eastAsia="Times New Roman" w:hAnsi="Times New Roman" w:cs="Times New Roman"/>
          <w:sz w:val="22"/>
          <w:szCs w:val="22"/>
        </w:rPr>
        <w:lastRenderedPageBreak/>
        <w:t xml:space="preserve">281.691 niños y jóvenes. Alrededor de 30 actividades se desarrollarán en estos días en torno al arte, ciencia, cultura y deporte en 10 escenarios de la ciudad. </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También es el caso de la Feria de Talentos para habitantes de calle, que cuenta con la participación de más de 40 habitantes de calle de la zona norte de la capital. Se desarrolla en medio de la “Jornada de Desarrollo Personal", en la que se realizan diferentes actividades lúdicas, pedagógicas y rumba aeróbica entre otras actividades programadas en el Centro de Desarrollo Comunitario, de la subdirección local de la Secretaría de Integración Social, en Usaquén.</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Por último, como sucede con la Feria de talentos y productividad con centenarios y personas mayores de Ciudad Bolívar. El evento se realiza en el marco de la celebración del “Mes del Envejecimiento y la Vejez”, en la localidad de Ciudad Bolívar. </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ese sentido, el proyecto busca integrar a niños, niñas y adolescentes de todas las localidades de Bogotá en la participación de un evento masivo, donde tengan la oportunidad de mostrar sus habilidades y talentos. Este enfoque inclusivo pretende no solo visibilizar las capacidades de los jóvenes, sino también proporcionarles un espacio seguro y significativo para expresar su creatividad y potencial.</w:t>
      </w:r>
    </w:p>
    <w:p w:rsidR="008813A3" w:rsidRDefault="008813A3">
      <w:pPr>
        <w:pBdr>
          <w:top w:val="nil"/>
          <w:left w:val="nil"/>
          <w:bottom w:val="nil"/>
          <w:right w:val="nil"/>
          <w:between w:val="nil"/>
        </w:pBdr>
        <w:ind w:left="141"/>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ind w:left="141"/>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propósito principal de este proyecto es incentivar el crecimiento personal y profesional de los participantes, promoviendo un sentido de pertenencia y confianza en sus propias habilidades. Al brindarles la oportunidad de ser protagonistas en un evento de gran magnitud, se les motiva a seguir desarrollando sus talentos, lo cual contribuirá positivamente a su formación integral y a la construcción de un futuro lleno de oportunidades.</w:t>
      </w:r>
    </w:p>
    <w:p w:rsidR="008813A3" w:rsidRDefault="008813A3">
      <w:pPr>
        <w:ind w:left="360"/>
        <w:jc w:val="both"/>
        <w:rPr>
          <w:rFonts w:ascii="Times New Roman" w:eastAsia="Times New Roman" w:hAnsi="Times New Roman" w:cs="Times New Roman"/>
          <w:sz w:val="22"/>
          <w:szCs w:val="22"/>
          <w:highlight w:val="white"/>
        </w:rPr>
      </w:pPr>
    </w:p>
    <w:p w:rsidR="008813A3" w:rsidRDefault="00ED01C9">
      <w:pPr>
        <w:numPr>
          <w:ilvl w:val="0"/>
          <w:numId w:val="1"/>
        </w:num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CONTRIBUCIÓN A LOS OBJETIVO DE DESARROLLO SOSTENIBLE (ODS)</w:t>
      </w:r>
    </w:p>
    <w:p w:rsidR="008813A3" w:rsidRDefault="008813A3">
      <w:pPr>
        <w:pBdr>
          <w:top w:val="nil"/>
          <w:left w:val="nil"/>
          <w:bottom w:val="nil"/>
          <w:right w:val="nil"/>
          <w:between w:val="nil"/>
        </w:pBdr>
        <w:jc w:val="both"/>
        <w:rPr>
          <w:rFonts w:ascii="Times New Roman" w:eastAsia="Times New Roman" w:hAnsi="Times New Roman" w:cs="Times New Roman"/>
          <w:b/>
          <w:bCs/>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El Fondo de las Naciones Unidas para la Infancia realiza una descripción del derecho a desarrollarse desde la primera infancia con los ODS de la siguiente forma: </w:t>
      </w:r>
    </w:p>
    <w:p w:rsidR="008813A3" w:rsidRDefault="008813A3">
      <w:pPr>
        <w:pBdr>
          <w:top w:val="nil"/>
          <w:left w:val="nil"/>
          <w:bottom w:val="nil"/>
          <w:right w:val="nil"/>
          <w:between w:val="nil"/>
        </w:pBdr>
        <w:jc w:val="both"/>
        <w:rPr>
          <w:rFonts w:ascii="Times New Roman" w:eastAsia="Times New Roman" w:hAnsi="Times New Roman" w:cs="Times New Roman"/>
          <w:b/>
          <w:bCs/>
          <w:sz w:val="22"/>
          <w:szCs w:val="22"/>
        </w:rPr>
      </w:pPr>
    </w:p>
    <w:p w:rsidR="008813A3" w:rsidRDefault="00ED01C9">
      <w:pPr>
        <w:pBdr>
          <w:top w:val="nil"/>
          <w:left w:val="nil"/>
          <w:bottom w:val="nil"/>
          <w:right w:val="nil"/>
          <w:between w:val="nil"/>
        </w:pBdr>
        <w:ind w:left="1440"/>
        <w:jc w:val="both"/>
        <w:rPr>
          <w:rFonts w:ascii="Times New Roman" w:eastAsia="Times New Roman" w:hAnsi="Times New Roman" w:cs="Times New Roman"/>
          <w:sz w:val="22"/>
          <w:szCs w:val="22"/>
        </w:rPr>
      </w:pPr>
      <w:r>
        <w:rPr>
          <w:rFonts w:ascii="Times New Roman" w:eastAsia="Times New Roman" w:hAnsi="Times New Roman" w:cs="Times New Roman"/>
          <w:i/>
          <w:iCs/>
          <w:sz w:val="22"/>
          <w:szCs w:val="22"/>
        </w:rPr>
        <w:t xml:space="preserve">Los 17 ODS y sus 169 metas impactan de manera directa o indirecta en el bienestar de la infancia y su implementación representa una clara apuesta por un modelo social y político que ponga en el centro a los niños. Además, la Agenda 2030 ayuda a ampliar la mirada hacia nuevas dimensiones del bienestar infantil asociadas con la equidad, el desarrollo económico, el medio ambiente y el cambio climático, la promoción de la paz y la protección. Garantizar el bienestar y la realización de los derechos de la infancia no es sólo un compromiso de los países que han suscrito la CDN, sino también una condición esencial para alcanzar los ODS para todos. </w:t>
      </w:r>
      <w:r>
        <w:rPr>
          <w:rFonts w:ascii="Times New Roman" w:eastAsia="Times New Roman" w:hAnsi="Times New Roman" w:cs="Times New Roman"/>
          <w:sz w:val="22"/>
          <w:szCs w:val="22"/>
        </w:rPr>
        <w:t>(UNICEF, 2024)</w:t>
      </w:r>
    </w:p>
    <w:p w:rsidR="008813A3" w:rsidRDefault="008813A3">
      <w:pPr>
        <w:pBdr>
          <w:top w:val="nil"/>
          <w:left w:val="nil"/>
          <w:bottom w:val="nil"/>
          <w:right w:val="nil"/>
          <w:between w:val="nil"/>
        </w:pBdr>
        <w:jc w:val="both"/>
        <w:rPr>
          <w:rFonts w:ascii="Times New Roman" w:eastAsia="Times New Roman" w:hAnsi="Times New Roman" w:cs="Times New Roman"/>
          <w:b/>
          <w:bCs/>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El bienestar infantil es un pilar fundamental para el éxito de los Objetivos de Desarrollo Sostenible. La implementación de la Agenda 2030 no solo refuerza el compromiso global con los derechos de </w:t>
      </w:r>
      <w:r>
        <w:rPr>
          <w:rFonts w:ascii="Times New Roman" w:eastAsia="Times New Roman" w:hAnsi="Times New Roman" w:cs="Times New Roman"/>
          <w:sz w:val="22"/>
          <w:szCs w:val="22"/>
        </w:rPr>
        <w:lastRenderedPageBreak/>
        <w:t>los niños, sino que también subraya que sin asegurar su bienestar, es imposible lograr un desarrollo sostenible integral. Los ODS proporcionan un marco amplio que integra diversas dimensiones cruciales para el desarrollo infantil, lo que resalta la importancia de poner a los niños en el centro de las políticas y acciones globales.</w:t>
      </w:r>
    </w:p>
    <w:p w:rsidR="008813A3" w:rsidRDefault="008813A3">
      <w:pPr>
        <w:pBdr>
          <w:top w:val="nil"/>
          <w:left w:val="nil"/>
          <w:bottom w:val="nil"/>
          <w:right w:val="nil"/>
          <w:between w:val="nil"/>
        </w:pBdr>
        <w:jc w:val="both"/>
        <w:rPr>
          <w:rFonts w:ascii="Times New Roman" w:eastAsia="Times New Roman" w:hAnsi="Times New Roman" w:cs="Times New Roman"/>
          <w:sz w:val="22"/>
          <w:szCs w:val="22"/>
        </w:rPr>
      </w:pPr>
    </w:p>
    <w:p w:rsidR="008813A3" w:rsidRDefault="00ED01C9">
      <w:pPr>
        <w:numPr>
          <w:ilvl w:val="0"/>
          <w:numId w:val="2"/>
        </w:numPr>
        <w:pBdr>
          <w:top w:val="nil"/>
          <w:left w:val="nil"/>
          <w:bottom w:val="nil"/>
          <w:right w:val="nil"/>
          <w:between w:val="nil"/>
        </w:pBdr>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El derecho a alcanzar el máximo potencial en la vida es igual para todos los niños y niñas del mundo.</w:t>
      </w:r>
    </w:p>
    <w:p w:rsidR="008813A3" w:rsidRDefault="00ED01C9">
      <w:pPr>
        <w:numPr>
          <w:ilvl w:val="0"/>
          <w:numId w:val="2"/>
        </w:numPr>
        <w:pBdr>
          <w:top w:val="nil"/>
          <w:left w:val="nil"/>
          <w:bottom w:val="nil"/>
          <w:right w:val="nil"/>
          <w:between w:val="nil"/>
        </w:pBdr>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Hay contextos sociales y económicos que lo dificultan, más allá de las posibilidades de cada niño o niña y su familia.</w:t>
      </w:r>
    </w:p>
    <w:p w:rsidR="008813A3" w:rsidRDefault="00ED01C9">
      <w:pPr>
        <w:numPr>
          <w:ilvl w:val="0"/>
          <w:numId w:val="2"/>
        </w:numPr>
        <w:pBdr>
          <w:top w:val="nil"/>
          <w:left w:val="nil"/>
          <w:bottom w:val="nil"/>
          <w:right w:val="nil"/>
          <w:between w:val="nil"/>
        </w:pBdr>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La pobreza y la dificultad de acceso a un trabajo decente impiden a muchas familias lograr un desarrollo pleno para sus hijos.</w:t>
      </w:r>
    </w:p>
    <w:p w:rsidR="008813A3" w:rsidRDefault="008813A3">
      <w:pPr>
        <w:pBdr>
          <w:top w:val="nil"/>
          <w:left w:val="nil"/>
          <w:bottom w:val="nil"/>
          <w:right w:val="nil"/>
          <w:between w:val="nil"/>
        </w:pBdr>
        <w:jc w:val="both"/>
        <w:rPr>
          <w:rFonts w:ascii="Times New Roman" w:eastAsia="Times New Roman" w:hAnsi="Times New Roman" w:cs="Times New Roman"/>
          <w:i/>
          <w:iCs/>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Es importante que el distrito se acoja a la Agenda 2030 porque al hacerlo, se compromete a un conjunto de metas globales que no solo buscan mejorar la calidad de vida de sus ciudadanos en general, sino que también colocan un énfasis particular en el bienestar infantil. Adoptar esta agenda significa que el distrito prioriza la equidad, el desarrollo sostenible, la protección ambiental, la paz y los derechos humanos, con un enfoque especial en los niños como futuros ciudadanos. Esto no solo mejora el presente y futuro de los niños del distrito, sino que también asegura un desarrollo más equilibrado y sostenible para toda la comunidad. Además, al alinearse con los Objetivos de Desarrollo Sostenible, el distrito contribuye a los esfuerzos globales para combatir problemas como la pobreza, la desigualdad y el cambio climático, lo que tiene un impacto positivo tanto a nivel local como mundial.</w:t>
      </w:r>
    </w:p>
    <w:p w:rsidR="008813A3" w:rsidRDefault="008813A3">
      <w:pPr>
        <w:pBdr>
          <w:top w:val="nil"/>
          <w:left w:val="nil"/>
          <w:bottom w:val="nil"/>
          <w:right w:val="nil"/>
          <w:between w:val="nil"/>
        </w:pBdr>
        <w:ind w:left="708"/>
        <w:rPr>
          <w:rFonts w:ascii="Times New Roman" w:eastAsia="Times New Roman" w:hAnsi="Times New Roman" w:cs="Times New Roman"/>
          <w:b/>
          <w:bCs/>
          <w:sz w:val="22"/>
          <w:szCs w:val="22"/>
        </w:rPr>
      </w:pPr>
    </w:p>
    <w:p w:rsidR="008813A3" w:rsidRDefault="00ED01C9">
      <w:pPr>
        <w:numPr>
          <w:ilvl w:val="0"/>
          <w:numId w:val="1"/>
        </w:num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RELACIÓN CON EL PLAN DISTRITAL DE DESARROLLO “BOGOTÁ CAMINA SEGURA 2024-2027”</w:t>
      </w:r>
    </w:p>
    <w:p w:rsidR="008813A3" w:rsidRDefault="008813A3">
      <w:pPr>
        <w:pBdr>
          <w:top w:val="nil"/>
          <w:left w:val="nil"/>
          <w:bottom w:val="nil"/>
          <w:right w:val="nil"/>
          <w:between w:val="nil"/>
        </w:pBdr>
        <w:ind w:left="1080"/>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proceso pedagógico permite garantizar un fortalecimiento de ambientes educativos que favorezcan el desarrollo integral de los niños, niñas y adolescentes. Esto implica contar con un equipo humano altamente cualificado que trabaje en condiciones de calidad y pertinencia, lo que asegura que cada niño y niña reciba una educación adaptada a sus necesidades y potencialidades. Un ambiente pedagógico y cultural bien diseñado no solo se enfoca en la transmisión de conocimientos, sino que también fomenta el crecimiento emocional, social y cognitivo de los NNA, creando una base sólida para su futuro desarrollo académico y personal.</w:t>
      </w:r>
    </w:p>
    <w:p w:rsidR="008813A3" w:rsidRDefault="008813A3">
      <w:pPr>
        <w:pBdr>
          <w:top w:val="nil"/>
          <w:left w:val="nil"/>
          <w:bottom w:val="nil"/>
          <w:right w:val="nil"/>
          <w:between w:val="nil"/>
        </w:pBdr>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Las propuestas curriculares y pedagógicas centradas en las capacidades y potencialidades de los niños y niñas son esenciales para el desarrollo de habilidades en áreas clave como el juego, el arte, la literatura y los lenguajes expresivos. Estas áreas permiten a los estudiantes explorar su creatividad, mejorar su capacidad de comunicación y fortalecer su pensamiento crítico. Así, el presente proyecto de acuerdo se alinea con el las metas y propuestas del plan de desarrollo económico, social, ambiental y de obras públicas del distrito capital 2024-2027 “Bogotá Camina Segura”, creando una feria de talentos con el propósito de formar individuos más completos y capaces de enfrentar los desafíos del mundo moderno: </w:t>
      </w:r>
    </w:p>
    <w:p w:rsidR="008813A3" w:rsidRDefault="008813A3">
      <w:pPr>
        <w:jc w:val="both"/>
        <w:rPr>
          <w:rFonts w:ascii="Times New Roman" w:eastAsia="Times New Roman" w:hAnsi="Times New Roman" w:cs="Times New Roman"/>
          <w:color w:val="333333"/>
          <w:sz w:val="22"/>
          <w:szCs w:val="22"/>
          <w:highlight w:val="white"/>
        </w:rPr>
      </w:pPr>
    </w:p>
    <w:p w:rsidR="008813A3" w:rsidRDefault="00ED01C9">
      <w:pPr>
        <w:ind w:left="1440"/>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Artículo 12. Programas del objetivo estratégico “Bogotá confía en su potencial”.</w:t>
      </w:r>
      <w:r>
        <w:rPr>
          <w:rFonts w:ascii="Times New Roman" w:eastAsia="Times New Roman" w:hAnsi="Times New Roman" w:cs="Times New Roman"/>
          <w:i/>
          <w:iCs/>
          <w:sz w:val="22"/>
          <w:szCs w:val="22"/>
        </w:rPr>
        <w:t xml:space="preserve"> Adóptense los siguientes programas del objetivo “Bogotá confía en su potencial”:</w:t>
      </w:r>
    </w:p>
    <w:p w:rsidR="008813A3" w:rsidRDefault="008813A3">
      <w:pPr>
        <w:ind w:left="1440"/>
        <w:jc w:val="both"/>
        <w:rPr>
          <w:rFonts w:ascii="Times New Roman" w:eastAsia="Times New Roman" w:hAnsi="Times New Roman" w:cs="Times New Roman"/>
          <w:sz w:val="22"/>
          <w:szCs w:val="22"/>
          <w:u w:val="single"/>
        </w:rPr>
      </w:pPr>
    </w:p>
    <w:p w:rsidR="008813A3" w:rsidRDefault="00ED01C9">
      <w:pPr>
        <w:ind w:left="1440"/>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12.1. Programa 16. Atención integral a la primera infancia y educación como eje del potencial humano. </w:t>
      </w:r>
      <w:r>
        <w:rPr>
          <w:rFonts w:ascii="Times New Roman" w:eastAsia="Times New Roman" w:hAnsi="Times New Roman" w:cs="Times New Roman"/>
          <w:i/>
          <w:iCs/>
          <w:sz w:val="22"/>
          <w:szCs w:val="22"/>
        </w:rPr>
        <w:t xml:space="preserve">(...) </w:t>
      </w:r>
    </w:p>
    <w:p w:rsidR="008813A3" w:rsidRDefault="008813A3">
      <w:pPr>
        <w:ind w:left="1440"/>
        <w:jc w:val="both"/>
        <w:rPr>
          <w:rFonts w:ascii="Times New Roman" w:eastAsia="Times New Roman" w:hAnsi="Times New Roman" w:cs="Times New Roman"/>
          <w:i/>
          <w:iCs/>
          <w:sz w:val="22"/>
          <w:szCs w:val="22"/>
        </w:rPr>
      </w:pPr>
    </w:p>
    <w:p w:rsidR="008813A3" w:rsidRDefault="00ED01C9">
      <w:pPr>
        <w:ind w:left="1440"/>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En cuanto a jornadas complementarias, se adelantará un trabajo articulado con distintos aliados, como la Secretaría de Cultura, Recreación y Deporte y sus entidades adscritas, gracias al cual los niños, niñas y jóvenes de la ciudad tendrán acceso a espacios de formación artísticos y deportivos garantizando una formación integral.</w:t>
      </w:r>
    </w:p>
    <w:p w:rsidR="008813A3" w:rsidRDefault="008813A3">
      <w:pPr>
        <w:ind w:left="1440"/>
        <w:jc w:val="both"/>
        <w:rPr>
          <w:rFonts w:ascii="Times New Roman" w:eastAsia="Times New Roman" w:hAnsi="Times New Roman" w:cs="Times New Roman"/>
          <w:i/>
          <w:iCs/>
          <w:sz w:val="22"/>
          <w:szCs w:val="22"/>
        </w:rPr>
      </w:pPr>
    </w:p>
    <w:p w:rsidR="008813A3" w:rsidRDefault="00ED01C9">
      <w:pPr>
        <w:ind w:left="1440"/>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w:t>
      </w:r>
    </w:p>
    <w:p w:rsidR="008813A3" w:rsidRDefault="008813A3">
      <w:pPr>
        <w:ind w:left="1440"/>
        <w:jc w:val="both"/>
        <w:rPr>
          <w:rFonts w:ascii="Times New Roman" w:eastAsia="Times New Roman" w:hAnsi="Times New Roman" w:cs="Times New Roman"/>
          <w:i/>
          <w:iCs/>
          <w:sz w:val="22"/>
          <w:szCs w:val="22"/>
        </w:rPr>
      </w:pPr>
    </w:p>
    <w:p w:rsidR="008813A3" w:rsidRDefault="00ED01C9">
      <w:pPr>
        <w:ind w:left="1440"/>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16.5. Programa 36. Innovación Pública para la generación de la confianza ciudadana. (...) </w:t>
      </w:r>
      <w:r>
        <w:rPr>
          <w:rFonts w:ascii="Times New Roman" w:eastAsia="Times New Roman" w:hAnsi="Times New Roman" w:cs="Times New Roman"/>
          <w:i/>
          <w:iCs/>
          <w:sz w:val="22"/>
          <w:szCs w:val="22"/>
        </w:rPr>
        <w:t>Adicionalmente, en colaboración con IBO y las Secretarías de Planeación, Educación, Integración Social y Gobierno, se generarán líneas de trabajo con niños, niñas y adolescentes en espacios de cocreación y laboratorios de innovación que incentivan su participación incidente y formación en innovación pública.</w:t>
      </w:r>
    </w:p>
    <w:p w:rsidR="008813A3" w:rsidRDefault="008813A3">
      <w:pPr>
        <w:ind w:left="1440"/>
        <w:jc w:val="both"/>
        <w:rPr>
          <w:rFonts w:ascii="Times New Roman" w:eastAsia="Times New Roman" w:hAnsi="Times New Roman" w:cs="Times New Roman"/>
          <w:i/>
          <w:iCs/>
          <w:sz w:val="22"/>
          <w:szCs w:val="22"/>
        </w:rPr>
      </w:pPr>
    </w:p>
    <w:p w:rsidR="008813A3" w:rsidRDefault="00ED01C9">
      <w:pPr>
        <w:ind w:left="1440"/>
        <w:jc w:val="both"/>
        <w:rPr>
          <w:rFonts w:ascii="Times New Roman" w:eastAsia="Times New Roman" w:hAnsi="Times New Roman" w:cs="Times New Roman"/>
          <w:i/>
          <w:iCs/>
          <w:sz w:val="22"/>
          <w:szCs w:val="22"/>
        </w:rPr>
      </w:pPr>
      <w:r>
        <w:rPr>
          <w:rFonts w:ascii="Times New Roman" w:eastAsia="Times New Roman" w:hAnsi="Times New Roman" w:cs="Times New Roman"/>
          <w:i/>
          <w:iCs/>
          <w:sz w:val="22"/>
          <w:szCs w:val="22"/>
        </w:rPr>
        <w:t>(...)</w:t>
      </w:r>
    </w:p>
    <w:p w:rsidR="008813A3" w:rsidRDefault="008813A3">
      <w:pPr>
        <w:pBdr>
          <w:top w:val="nil"/>
          <w:left w:val="nil"/>
          <w:bottom w:val="nil"/>
          <w:right w:val="nil"/>
          <w:between w:val="nil"/>
        </w:pBdr>
        <w:ind w:left="1440"/>
        <w:jc w:val="both"/>
        <w:rPr>
          <w:rFonts w:ascii="Times New Roman" w:eastAsia="Times New Roman" w:hAnsi="Times New Roman" w:cs="Times New Roman"/>
          <w:i/>
          <w:iCs/>
          <w:sz w:val="22"/>
          <w:szCs w:val="22"/>
          <w:u w:val="single"/>
        </w:rPr>
      </w:pPr>
    </w:p>
    <w:p w:rsidR="008813A3" w:rsidRDefault="00ED01C9">
      <w:pPr>
        <w:pBdr>
          <w:top w:val="nil"/>
          <w:left w:val="nil"/>
          <w:bottom w:val="nil"/>
          <w:right w:val="nil"/>
          <w:between w:val="nil"/>
        </w:pBdr>
        <w:ind w:left="1440"/>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 xml:space="preserve">Artículo 122. Coordinación interinstitucional para la atención integral a la primera infancia. (...) </w:t>
      </w:r>
      <w:r>
        <w:rPr>
          <w:rFonts w:ascii="Times New Roman" w:eastAsia="Times New Roman" w:hAnsi="Times New Roman" w:cs="Times New Roman"/>
          <w:i/>
          <w:iCs/>
          <w:sz w:val="22"/>
          <w:szCs w:val="22"/>
        </w:rPr>
        <w:t>La gestión intersectorial para la atención integral tendrá como propósito orientar acciones conjuntas, articuladas e intencionadas por parte de todos los actores corresponsables en el territorio distrital, esto en función de garantizar que todos los niños y niñas entre los cero (0) y los cinco (5) años en Bogotá D.C. se vinculen en condiciones de igualdad, equidad y calidad a los distintos programas y modalidades de atención integral a la primera infancia (AIPI) de carácter oficial o privado que sean prestados por parte de la oferta del  Distrito Capital o el ICBF.</w:t>
      </w:r>
    </w:p>
    <w:p w:rsidR="008813A3" w:rsidRDefault="008813A3">
      <w:pPr>
        <w:pBdr>
          <w:top w:val="nil"/>
          <w:left w:val="nil"/>
          <w:bottom w:val="nil"/>
          <w:right w:val="nil"/>
          <w:between w:val="nil"/>
        </w:pBdr>
        <w:ind w:left="1440"/>
        <w:jc w:val="both"/>
        <w:rPr>
          <w:rFonts w:ascii="Times New Roman" w:eastAsia="Times New Roman" w:hAnsi="Times New Roman" w:cs="Times New Roman"/>
          <w:i/>
          <w:iCs/>
          <w:sz w:val="22"/>
          <w:szCs w:val="22"/>
        </w:rPr>
      </w:pPr>
    </w:p>
    <w:p w:rsidR="008813A3" w:rsidRDefault="00ED01C9">
      <w:pPr>
        <w:pBdr>
          <w:top w:val="nil"/>
          <w:left w:val="nil"/>
          <w:bottom w:val="nil"/>
          <w:right w:val="nil"/>
          <w:between w:val="nil"/>
        </w:pBdr>
        <w:ind w:left="1440"/>
        <w:jc w:val="both"/>
        <w:rPr>
          <w:rFonts w:ascii="Times New Roman" w:eastAsia="Times New Roman" w:hAnsi="Times New Roman" w:cs="Times New Roman"/>
          <w:i/>
          <w:iCs/>
          <w:sz w:val="22"/>
          <w:szCs w:val="22"/>
        </w:rPr>
      </w:pPr>
      <w:r>
        <w:rPr>
          <w:rFonts w:ascii="Times New Roman" w:eastAsia="Times New Roman" w:hAnsi="Times New Roman" w:cs="Times New Roman"/>
          <w:b/>
          <w:bCs/>
          <w:i/>
          <w:iCs/>
          <w:sz w:val="22"/>
          <w:szCs w:val="22"/>
        </w:rPr>
        <w:t>Proceso Pedagógico-</w:t>
      </w:r>
      <w:r>
        <w:rPr>
          <w:rFonts w:ascii="Times New Roman" w:eastAsia="Times New Roman" w:hAnsi="Times New Roman" w:cs="Times New Roman"/>
          <w:i/>
          <w:iCs/>
          <w:sz w:val="22"/>
          <w:szCs w:val="22"/>
        </w:rPr>
        <w:t xml:space="preserve"> Diseño y fortalecimiento de ambientes educativos y pedagógicos que favorezcan el desarrollo de las niñas y niños con equipo humano cualificado y en condiciones de calidad y pertinencia. - Propuestas curriculares y pedagógicas centradas en las capacidades y potencialidades de los niños y niñas - Desarrollo de capacidades y habilidades en el juego, el arte, la literatura y los lenguajes expresivos. (...)</w:t>
      </w:r>
    </w:p>
    <w:p w:rsidR="008813A3" w:rsidRDefault="008813A3">
      <w:pPr>
        <w:jc w:val="both"/>
        <w:rPr>
          <w:rFonts w:ascii="Times New Roman" w:eastAsia="Times New Roman" w:hAnsi="Times New Roman" w:cs="Times New Roman"/>
          <w:sz w:val="22"/>
          <w:szCs w:val="22"/>
          <w:highlight w:val="white"/>
        </w:rPr>
      </w:pPr>
    </w:p>
    <w:p w:rsidR="008813A3" w:rsidRDefault="00ED01C9">
      <w:pPr>
        <w:numPr>
          <w:ilvl w:val="0"/>
          <w:numId w:val="1"/>
        </w:numPr>
        <w:pBdr>
          <w:top w:val="nil"/>
          <w:left w:val="nil"/>
          <w:bottom w:val="nil"/>
          <w:right w:val="nil"/>
          <w:between w:val="nil"/>
        </w:pBdr>
        <w:jc w:val="both"/>
        <w:rPr>
          <w:rFonts w:ascii="Times New Roman" w:eastAsia="Times New Roman" w:hAnsi="Times New Roman" w:cs="Times New Roman"/>
          <w:sz w:val="22"/>
          <w:szCs w:val="22"/>
          <w:highlight w:val="white"/>
        </w:rPr>
      </w:pPr>
      <w:r>
        <w:rPr>
          <w:rFonts w:ascii="Times New Roman" w:eastAsia="Times New Roman" w:hAnsi="Times New Roman" w:cs="Times New Roman"/>
          <w:b/>
          <w:bCs/>
          <w:sz w:val="22"/>
          <w:szCs w:val="22"/>
        </w:rPr>
        <w:t>COMPETENCIA DEL CONCEJO DE BOGOTÁ</w:t>
      </w:r>
    </w:p>
    <w:p w:rsidR="008813A3" w:rsidRDefault="008813A3">
      <w:pPr>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Concejo de Bogotá D.C. tiene la competencia para dictar normas relacionadas con la naturaleza y el alcance del presente Proyecto de Acuerdo, según las disposiciones constitucionales y legales vigentes. En primer lugar, el artículo 313 de la Constitución Política de Colombia establece que:</w:t>
      </w: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Concejo de Bogotá es competente para estudiar y aprobar o improbar el presente proyecto de acuerdo en virtud de lo establecido en el Artículo 12 del Decreto ley 1421 de 1993, principalmente en el numeral 1 que faculta al a Corporación para dictar normas así: DECRETO LEY 1421 de 1993 “Estatuto Orgánico de Bogotá”. Art. 12. Atribuciones. Corresponde al Concejo Distrital, de conformidad con la Constitución y la ley:</w:t>
      </w:r>
    </w:p>
    <w:p w:rsidR="008813A3" w:rsidRDefault="008813A3">
      <w:pPr>
        <w:pBdr>
          <w:top w:val="nil"/>
          <w:left w:val="nil"/>
          <w:bottom w:val="nil"/>
          <w:right w:val="nil"/>
          <w:between w:val="nil"/>
        </w:pBdr>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1. Dictar las normas necesarias para garantizar el adecuado cumplimiento de las funciones y la eficiente prestación de los servicios a cargo del Distrito.</w:t>
      </w:r>
    </w:p>
    <w:p w:rsidR="008813A3" w:rsidRDefault="008813A3">
      <w:pPr>
        <w:pBdr>
          <w:top w:val="nil"/>
          <w:left w:val="nil"/>
          <w:bottom w:val="nil"/>
          <w:right w:val="nil"/>
          <w:between w:val="nil"/>
        </w:pBdr>
        <w:jc w:val="both"/>
        <w:rPr>
          <w:rFonts w:ascii="Times New Roman" w:eastAsia="Times New Roman" w:hAnsi="Times New Roman" w:cs="Times New Roman"/>
          <w:sz w:val="22"/>
          <w:szCs w:val="22"/>
        </w:rPr>
      </w:pPr>
    </w:p>
    <w:p w:rsidR="008813A3" w:rsidRDefault="00ED01C9">
      <w:pPr>
        <w:pBdr>
          <w:top w:val="nil"/>
          <w:left w:val="nil"/>
          <w:bottom w:val="nil"/>
          <w:right w:val="nil"/>
          <w:between w:val="nil"/>
        </w:pBd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Asimismo, el Concejo de Bogotá D.C. tiene la competencia para dictar normas relacionadas con la naturaleza y el alcance del presente Proyecto de Acuerdo, según las disposiciones constitucionales y legales vigentes. </w:t>
      </w:r>
    </w:p>
    <w:p w:rsidR="008813A3" w:rsidRDefault="008813A3">
      <w:pPr>
        <w:rPr>
          <w:rFonts w:ascii="Times New Roman" w:eastAsia="Times New Roman" w:hAnsi="Times New Roman" w:cs="Times New Roman"/>
          <w:b/>
          <w:bCs/>
          <w:sz w:val="22"/>
          <w:szCs w:val="22"/>
        </w:rPr>
      </w:pPr>
    </w:p>
    <w:p w:rsidR="008813A3" w:rsidRDefault="00ED01C9">
      <w:pPr>
        <w:ind w:firstLine="720"/>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VII.</w:t>
      </w:r>
      <w:r>
        <w:rPr>
          <w:rFonts w:ascii="Times New Roman" w:eastAsia="Times New Roman" w:hAnsi="Times New Roman" w:cs="Times New Roman"/>
          <w:b/>
          <w:bCs/>
          <w:sz w:val="22"/>
          <w:szCs w:val="22"/>
        </w:rPr>
        <w:tab/>
        <w:t xml:space="preserve">IMPACTO FISCAL </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De conformidad con el artículo 7 de la Ley 819 de 2003: </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t>
      </w:r>
      <w:r>
        <w:rPr>
          <w:rFonts w:ascii="Times New Roman" w:eastAsia="Times New Roman" w:hAnsi="Times New Roman" w:cs="Times New Roman"/>
          <w:i/>
          <w:iCs/>
          <w:sz w:val="22"/>
          <w:szCs w:val="22"/>
        </w:rPr>
        <w:t>En todo momento, el impacto fiscal de cualquier proyecto de ley, ordenanza o acuerdo, que ordene gasto o que otorgue beneficios tributarios, deberá hacerse explícito y deberá ser compatible con el Marco Fiscal de Mediano Plazo. Para estos propósitos, deberá incluirse expresamente en la exposición de motivos y en las ponencias de trámite respectivas los costos fiscales de la iniciativa y la fuente de ingreso adicional generada para el financiamiento de dicho costo”.</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El presente proyecto no genera ningún impacto fiscal adicional, solo traza una ruta adicional dentro del Plan Distrital de Desarrollo “Bogotá Camina Segura” 2024-2027 y el Plan de Acción de la Secretaría Distrital de Cultura, Recreación y Deporte, la cual puede llevarse a cabo con el presupuesto actual.</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Atentamente,</w:t>
      </w:r>
    </w:p>
    <w:p w:rsidR="008813A3" w:rsidRDefault="008813A3">
      <w:pPr>
        <w:jc w:val="both"/>
        <w:rPr>
          <w:rFonts w:ascii="Times New Roman" w:eastAsia="Times New Roman" w:hAnsi="Times New Roman" w:cs="Times New Roman"/>
          <w:sz w:val="22"/>
          <w:szCs w:val="22"/>
        </w:rPr>
      </w:pPr>
    </w:p>
    <w:p w:rsidR="008813A3" w:rsidRDefault="008813A3">
      <w:pPr>
        <w:jc w:val="both"/>
        <w:rPr>
          <w:rFonts w:ascii="Times New Roman" w:eastAsia="Times New Roman" w:hAnsi="Times New Roman" w:cs="Times New Roman"/>
          <w:sz w:val="22"/>
          <w:szCs w:val="22"/>
        </w:rPr>
      </w:pPr>
    </w:p>
    <w:p w:rsidR="008813A3" w:rsidRDefault="008813A3">
      <w:pPr>
        <w:jc w:val="both"/>
        <w:rPr>
          <w:rFonts w:ascii="Times New Roman" w:eastAsia="Times New Roman" w:hAnsi="Times New Roman" w:cs="Times New Roman"/>
          <w:sz w:val="22"/>
          <w:szCs w:val="22"/>
        </w:rPr>
      </w:pPr>
    </w:p>
    <w:p w:rsidR="008813A3" w:rsidRDefault="008813A3">
      <w:pPr>
        <w:jc w:val="both"/>
        <w:rPr>
          <w:rFonts w:ascii="Times New Roman" w:eastAsia="Times New Roman" w:hAnsi="Times New Roman" w:cs="Times New Roman"/>
          <w:b/>
          <w:bCs/>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JULIÁN USCÁTEGUI PASTRANA</w:t>
      </w: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ab/>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H. Concejal de Bogotá D.C.                                 </w:t>
      </w:r>
      <w:r>
        <w:rPr>
          <w:rFonts w:ascii="Times New Roman" w:eastAsia="Times New Roman" w:hAnsi="Times New Roman" w:cs="Times New Roman"/>
          <w:sz w:val="22"/>
          <w:szCs w:val="22"/>
        </w:rPr>
        <w:tab/>
        <w:t xml:space="preserve"> </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Centro Democrático                  </w:t>
      </w:r>
    </w:p>
    <w:p w:rsidR="008813A3" w:rsidRDefault="008813A3">
      <w:pPr>
        <w:jc w:val="both"/>
        <w:rPr>
          <w:rFonts w:ascii="Times New Roman" w:eastAsia="Times New Roman" w:hAnsi="Times New Roman" w:cs="Times New Roman"/>
          <w:sz w:val="22"/>
          <w:szCs w:val="22"/>
        </w:rPr>
      </w:pP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lastRenderedPageBreak/>
        <w:t xml:space="preserve">  </w:t>
      </w:r>
      <w:r>
        <w:rPr>
          <w:rFonts w:ascii="Times New Roman" w:eastAsia="Times New Roman" w:hAnsi="Times New Roman" w:cs="Times New Roman"/>
          <w:sz w:val="22"/>
          <w:szCs w:val="22"/>
        </w:rPr>
        <w:tab/>
      </w:r>
    </w:p>
    <w:p w:rsidR="008813A3" w:rsidRDefault="00ED01C9">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Proyecto de Acuerdo No.  ______ de 2026</w:t>
      </w:r>
    </w:p>
    <w:p w:rsidR="008813A3" w:rsidRDefault="008813A3">
      <w:pPr>
        <w:jc w:val="center"/>
        <w:rPr>
          <w:rFonts w:ascii="Times New Roman" w:eastAsia="Times New Roman" w:hAnsi="Times New Roman" w:cs="Times New Roman"/>
          <w:b/>
          <w:bCs/>
          <w:sz w:val="22"/>
          <w:szCs w:val="22"/>
        </w:rPr>
      </w:pPr>
    </w:p>
    <w:p w:rsidR="008813A3" w:rsidRDefault="00ED01C9">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“POR MEDIO DEL CUAL SE CREA LA FERIA DE TALENTOS PARA NIÑOS, NIÑAS Y ADOLESCENTES, “BOGOTÁ, LA CAPITAL DEL TALENTO INFANTIL” EN EL DISTRITO CAPITAL”</w:t>
      </w:r>
    </w:p>
    <w:p w:rsidR="008813A3" w:rsidRDefault="00ED01C9">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rsidR="008813A3" w:rsidRDefault="00ED01C9">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EL CONCEJO DE BOGOTÁ DISTRITO CAPITAL</w:t>
      </w:r>
    </w:p>
    <w:p w:rsidR="008813A3" w:rsidRDefault="00ED01C9">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En uso de sus atribuciones constitucionales y legales, en especial las que le confieren el numeral 1 del artículo 12 del Decreto-Ley 1421 de 1993.</w:t>
      </w:r>
    </w:p>
    <w:p w:rsidR="008813A3" w:rsidRDefault="00ED01C9">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 xml:space="preserve"> </w:t>
      </w:r>
    </w:p>
    <w:p w:rsidR="008813A3" w:rsidRDefault="00ED01C9">
      <w:pPr>
        <w:jc w:val="center"/>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ACUERDA</w:t>
      </w: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Artículo 1.</w:t>
      </w:r>
      <w:r>
        <w:rPr>
          <w:rFonts w:ascii="Times New Roman" w:eastAsia="Times New Roman" w:hAnsi="Times New Roman" w:cs="Times New Roman"/>
          <w:sz w:val="22"/>
          <w:szCs w:val="22"/>
        </w:rPr>
        <w:t xml:space="preserve"> </w:t>
      </w:r>
      <w:r>
        <w:rPr>
          <w:rFonts w:ascii="Times New Roman" w:eastAsia="Times New Roman" w:hAnsi="Times New Roman" w:cs="Times New Roman"/>
          <w:b/>
          <w:bCs/>
          <w:sz w:val="22"/>
          <w:szCs w:val="22"/>
        </w:rPr>
        <w:t>Objeto.</w:t>
      </w:r>
      <w:r>
        <w:rPr>
          <w:rFonts w:ascii="Times New Roman" w:eastAsia="Times New Roman" w:hAnsi="Times New Roman" w:cs="Times New Roman"/>
          <w:sz w:val="22"/>
          <w:szCs w:val="22"/>
        </w:rPr>
        <w:t xml:space="preserve"> El presente acuerdo tiene por objeto crear la Feria de Talentos "Bogotá, la Capital del Talento Infantil" como un evento de interés cultural de carácter distrital, cuyo propósito es impulsar la participación activa y la visibilización de los talentos de niños, niñas, adolescentes y jóvenes en diversos campos artísticos, culturales, científicos y tecnológicos, promoviendo así su desarrollo integral y su reconocimiento en la sociedad.</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 xml:space="preserve">Artículo 2. Aplicación. </w:t>
      </w:r>
      <w:r>
        <w:rPr>
          <w:rFonts w:ascii="Times New Roman" w:eastAsia="Times New Roman" w:hAnsi="Times New Roman" w:cs="Times New Roman"/>
          <w:sz w:val="22"/>
          <w:szCs w:val="22"/>
        </w:rPr>
        <w:t>La Administración Distrital, en coordinación con la Secretaría de Cultura, Recreación y Deporte, se encargará de la organización y logística de la Feria de Talentos "Bogotá, la Capital del Talento Infantil". Esta feria se llevará a cabo anualmente.</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b/>
          <w:bCs/>
          <w:sz w:val="22"/>
          <w:szCs w:val="22"/>
        </w:rPr>
      </w:pPr>
      <w:r>
        <w:rPr>
          <w:rFonts w:ascii="Times New Roman" w:eastAsia="Times New Roman" w:hAnsi="Times New Roman" w:cs="Times New Roman"/>
          <w:b/>
          <w:bCs/>
          <w:sz w:val="22"/>
          <w:szCs w:val="22"/>
        </w:rPr>
        <w:t>Artículo 3</w:t>
      </w:r>
      <w:r>
        <w:rPr>
          <w:rFonts w:ascii="Times New Roman" w:eastAsia="Times New Roman" w:hAnsi="Times New Roman" w:cs="Times New Roman"/>
          <w:sz w:val="22"/>
          <w:szCs w:val="22"/>
        </w:rPr>
        <w:t xml:space="preserve">. </w:t>
      </w:r>
      <w:r>
        <w:rPr>
          <w:rFonts w:ascii="Times New Roman" w:eastAsia="Times New Roman" w:hAnsi="Times New Roman" w:cs="Times New Roman"/>
          <w:b/>
          <w:bCs/>
          <w:sz w:val="22"/>
          <w:szCs w:val="22"/>
        </w:rPr>
        <w:t xml:space="preserve">Articulación con el Sector Privado. </w:t>
      </w:r>
      <w:r>
        <w:rPr>
          <w:rFonts w:ascii="Times New Roman" w:eastAsia="Times New Roman" w:hAnsi="Times New Roman" w:cs="Times New Roman"/>
          <w:sz w:val="22"/>
          <w:szCs w:val="22"/>
        </w:rPr>
        <w:t xml:space="preserve">La Administración Distrital vinculará al sector privado y creará alianzas con diversos sectores, como el entretenimiento y el deporte, con el objetivo de captar ofertas educativas para los niños, niñas y adolescentes que por su talento se destaquen en la Feria.   </w:t>
      </w:r>
      <w:r>
        <w:rPr>
          <w:rFonts w:ascii="Times New Roman" w:eastAsia="Times New Roman" w:hAnsi="Times New Roman" w:cs="Times New Roman"/>
          <w:b/>
          <w:bCs/>
          <w:sz w:val="22"/>
          <w:szCs w:val="22"/>
        </w:rPr>
        <w:t xml:space="preserve"> </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Artículo 4. Reglamentación.</w:t>
      </w:r>
      <w:r>
        <w:rPr>
          <w:rFonts w:ascii="Times New Roman" w:eastAsia="Times New Roman" w:hAnsi="Times New Roman" w:cs="Times New Roman"/>
          <w:sz w:val="22"/>
          <w:szCs w:val="22"/>
        </w:rPr>
        <w:t xml:space="preserve"> La administración distrital reglamentará el presente acuerdo dentro de los seis (6) meses siguientes a su promulgación, estableciendo los espacios, tipos de actividades y participación que permitan la realización de la Feria de Talentos "Bogotá, la Capital del Talento Infantil" en el Distrito Capital.</w:t>
      </w:r>
    </w:p>
    <w:p w:rsidR="008813A3" w:rsidRDefault="008813A3">
      <w:pPr>
        <w:jc w:val="both"/>
        <w:rPr>
          <w:rFonts w:ascii="Times New Roman" w:eastAsia="Times New Roman" w:hAnsi="Times New Roman" w:cs="Times New Roman"/>
          <w:sz w:val="22"/>
          <w:szCs w:val="22"/>
        </w:rPr>
      </w:pPr>
    </w:p>
    <w:p w:rsidR="008813A3" w:rsidRDefault="00ED01C9">
      <w:pPr>
        <w:jc w:val="both"/>
        <w:rPr>
          <w:rFonts w:ascii="Times New Roman" w:eastAsia="Times New Roman" w:hAnsi="Times New Roman" w:cs="Times New Roman"/>
          <w:sz w:val="22"/>
          <w:szCs w:val="22"/>
        </w:rPr>
      </w:pPr>
      <w:r>
        <w:rPr>
          <w:rFonts w:ascii="Times New Roman" w:eastAsia="Times New Roman" w:hAnsi="Times New Roman" w:cs="Times New Roman"/>
          <w:b/>
          <w:bCs/>
          <w:sz w:val="22"/>
          <w:szCs w:val="22"/>
        </w:rPr>
        <w:t xml:space="preserve">Artículo 5. Vigencia. </w:t>
      </w:r>
      <w:r>
        <w:rPr>
          <w:rFonts w:ascii="Times New Roman" w:eastAsia="Times New Roman" w:hAnsi="Times New Roman" w:cs="Times New Roman"/>
          <w:sz w:val="22"/>
          <w:szCs w:val="22"/>
        </w:rPr>
        <w:t>El presente acuerdo entrará en vigor a partir de su promulgación.</w:t>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ab/>
      </w:r>
    </w:p>
    <w:p w:rsidR="008813A3" w:rsidRDefault="00ED01C9">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Publíquese y Cúmplase</w:t>
      </w:r>
    </w:p>
    <w:sectPr w:rsidR="008813A3">
      <w:headerReference w:type="default" r:id="rId8"/>
      <w:footerReference w:type="even" r:id="rId9"/>
      <w:footerReference w:type="default" r:id="rId10"/>
      <w:pgSz w:w="12242" w:h="15842"/>
      <w:pgMar w:top="1701" w:right="1701" w:bottom="1701" w:left="1701" w:header="1134" w:footer="68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8248B" w:rsidRDefault="0068248B">
      <w:r>
        <w:separator/>
      </w:r>
    </w:p>
  </w:endnote>
  <w:endnote w:type="continuationSeparator" w:id="0">
    <w:p w:rsidR="0068248B" w:rsidRDefault="006824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1C4655E5-A089-4A0D-B457-48BC74472C0C}"/>
    <w:embedBold r:id="rId2" w:fontKey="{CC44EA7F-C585-4D3B-8B91-60EF692FA946}"/>
    <w:embedBoldItalic r:id="rId3" w:fontKey="{03E73EE4-42CB-4F95-B7EC-F224523BA0B3}"/>
  </w:font>
  <w:font w:name="Calibri">
    <w:panose1 w:val="020F0502020204030204"/>
    <w:charset w:val="00"/>
    <w:family w:val="swiss"/>
    <w:pitch w:val="variable"/>
    <w:sig w:usb0="E4002EFF" w:usb1="C000247B" w:usb2="00000009" w:usb3="00000000" w:csb0="000001FF" w:csb1="00000000"/>
    <w:embedRegular r:id="rId4" w:fontKey="{930575F4-D7A5-4A22-BB9E-BBA567520987}"/>
    <w:embedBold r:id="rId5" w:fontKey="{1581D56B-335C-40A2-BD8F-8DD8F01422FF}"/>
  </w:font>
  <w:font w:name="Tahoma">
    <w:panose1 w:val="020B0604030504040204"/>
    <w:charset w:val="00"/>
    <w:family w:val="swiss"/>
    <w:pitch w:val="variable"/>
    <w:sig w:usb0="E1002EFF" w:usb1="C000605B" w:usb2="00000029" w:usb3="00000000" w:csb0="000101FF" w:csb1="00000000"/>
    <w:embedRegular r:id="rId6" w:fontKey="{1676B553-940C-4A85-8FB0-0573121AEA5E}"/>
  </w:font>
  <w:font w:name="Georgia">
    <w:panose1 w:val="02040502050405020303"/>
    <w:charset w:val="00"/>
    <w:family w:val="roman"/>
    <w:pitch w:val="variable"/>
    <w:sig w:usb0="00000287" w:usb1="00000000" w:usb2="00000000" w:usb3="00000000" w:csb0="0000009F" w:csb1="00000000"/>
    <w:embedRegular r:id="rId7" w:fontKey="{0E05ACC9-4F53-4FFE-A5A5-5F0922F68CB7}"/>
    <w:embedItalic r:id="rId8" w:fontKey="{1DD818FB-0C6A-4EF1-BCE5-B8F3FCEA3944}"/>
  </w:font>
  <w:font w:name="Candara">
    <w:panose1 w:val="020E0502030303020204"/>
    <w:charset w:val="00"/>
    <w:family w:val="swiss"/>
    <w:pitch w:val="variable"/>
    <w:sig w:usb0="A00002EF" w:usb1="4000A44B" w:usb2="00000000" w:usb3="00000000" w:csb0="0000019F" w:csb1="00000000"/>
    <w:embedRegular r:id="rId9" w:fontKey="{2DD9396C-6764-4461-B1B9-05962399C503}"/>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13A3" w:rsidRDefault="00ED01C9">
    <w:pPr>
      <w:pBdr>
        <w:top w:val="nil"/>
        <w:left w:val="nil"/>
        <w:bottom w:val="nil"/>
        <w:right w:val="nil"/>
        <w:between w:val="nil"/>
      </w:pBdr>
      <w:tabs>
        <w:tab w:val="center" w:pos="4252"/>
        <w:tab w:val="right" w:pos="8504"/>
      </w:tabs>
      <w:jc w:val="right"/>
    </w:pPr>
    <w:r>
      <w:fldChar w:fldCharType="begin"/>
    </w:r>
    <w:r>
      <w:instrText>PAGE</w:instrText>
    </w:r>
    <w:r>
      <w:fldChar w:fldCharType="end"/>
    </w:r>
  </w:p>
  <w:p w:rsidR="008813A3" w:rsidRDefault="008813A3">
    <w:pPr>
      <w:pBdr>
        <w:top w:val="nil"/>
        <w:left w:val="nil"/>
        <w:bottom w:val="nil"/>
        <w:right w:val="nil"/>
        <w:between w:val="nil"/>
      </w:pBdr>
      <w:tabs>
        <w:tab w:val="center" w:pos="4252"/>
        <w:tab w:val="right" w:pos="8504"/>
      </w:tabs>
      <w:ind w:right="360"/>
    </w:pPr>
  </w:p>
  <w:p w:rsidR="008813A3" w:rsidRDefault="008813A3"/>
  <w:p w:rsidR="008813A3" w:rsidRDefault="008813A3"/>
  <w:p w:rsidR="008813A3" w:rsidRDefault="008813A3"/>
  <w:p w:rsidR="008813A3" w:rsidRDefault="008813A3"/>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13A3" w:rsidRDefault="008813A3">
    <w:pPr>
      <w:pBdr>
        <w:top w:val="nil"/>
        <w:left w:val="nil"/>
        <w:bottom w:val="nil"/>
        <w:right w:val="nil"/>
        <w:between w:val="nil"/>
      </w:pBdr>
      <w:tabs>
        <w:tab w:val="center" w:pos="4252"/>
        <w:tab w:val="right" w:pos="8504"/>
      </w:tabs>
      <w:jc w:val="center"/>
      <w:rPr>
        <w:sz w:val="18"/>
        <w:szCs w:val="18"/>
      </w:rPr>
    </w:pPr>
  </w:p>
  <w:p w:rsidR="008813A3" w:rsidRDefault="008813A3">
    <w:pPr>
      <w:pBdr>
        <w:top w:val="nil"/>
        <w:left w:val="nil"/>
        <w:bottom w:val="nil"/>
        <w:right w:val="nil"/>
        <w:between w:val="nil"/>
      </w:pBdr>
      <w:tabs>
        <w:tab w:val="center" w:pos="4252"/>
        <w:tab w:val="right" w:pos="8504"/>
      </w:tabs>
      <w:jc w:val="center"/>
      <w:rPr>
        <w:sz w:val="18"/>
        <w:szCs w:val="18"/>
      </w:rPr>
    </w:pPr>
  </w:p>
  <w:p w:rsidR="008813A3" w:rsidRDefault="008813A3">
    <w:pPr>
      <w:pBdr>
        <w:top w:val="nil"/>
        <w:left w:val="nil"/>
        <w:bottom w:val="nil"/>
        <w:right w:val="nil"/>
        <w:between w:val="nil"/>
      </w:pBdr>
      <w:tabs>
        <w:tab w:val="center" w:pos="4252"/>
        <w:tab w:val="right" w:pos="8504"/>
      </w:tabs>
      <w:jc w:val="center"/>
      <w:rPr>
        <w:sz w:val="16"/>
        <w:szCs w:val="16"/>
      </w:rPr>
    </w:pPr>
  </w:p>
  <w:p w:rsidR="008813A3" w:rsidRDefault="008813A3">
    <w:pPr>
      <w:pBdr>
        <w:top w:val="nil"/>
        <w:left w:val="nil"/>
        <w:bottom w:val="nil"/>
        <w:right w:val="nil"/>
        <w:between w:val="nil"/>
      </w:pBdr>
      <w:tabs>
        <w:tab w:val="center" w:pos="4252"/>
        <w:tab w:val="right" w:pos="8504"/>
      </w:tabs>
      <w:rPr>
        <w:sz w:val="16"/>
        <w:szCs w:val="16"/>
      </w:rPr>
    </w:pPr>
  </w:p>
  <w:p w:rsidR="008813A3" w:rsidRDefault="008813A3">
    <w:pPr>
      <w:pBdr>
        <w:top w:val="nil"/>
        <w:left w:val="nil"/>
        <w:bottom w:val="nil"/>
        <w:right w:val="nil"/>
        <w:between w:val="nil"/>
      </w:pBdr>
      <w:tabs>
        <w:tab w:val="center" w:pos="4252"/>
        <w:tab w:val="right" w:pos="8504"/>
      </w:tabs>
      <w:rPr>
        <w:sz w:val="16"/>
        <w:szCs w:val="16"/>
      </w:rPr>
    </w:pPr>
  </w:p>
  <w:p w:rsidR="008813A3" w:rsidRDefault="008813A3">
    <w:pPr>
      <w:jc w:val="right"/>
      <w:rPr>
        <w:b/>
        <w:bCs/>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8248B" w:rsidRDefault="0068248B">
      <w:r>
        <w:separator/>
      </w:r>
    </w:p>
  </w:footnote>
  <w:footnote w:type="continuationSeparator" w:id="0">
    <w:p w:rsidR="0068248B" w:rsidRDefault="0068248B">
      <w:r>
        <w:continuationSeparator/>
      </w:r>
    </w:p>
  </w:footnote>
  <w:footnote w:id="1">
    <w:p w:rsidR="008813A3" w:rsidRDefault="00ED01C9">
      <w:pPr>
        <w:rPr>
          <w:i/>
          <w:iCs/>
          <w:sz w:val="16"/>
          <w:szCs w:val="16"/>
        </w:rPr>
      </w:pPr>
      <w:r>
        <w:rPr>
          <w:vertAlign w:val="superscript"/>
        </w:rPr>
        <w:footnoteRef/>
      </w:r>
      <w:r>
        <w:rPr>
          <w:sz w:val="20"/>
          <w:szCs w:val="20"/>
        </w:rPr>
        <w:t xml:space="preserve"> </w:t>
      </w:r>
      <w:r>
        <w:rPr>
          <w:i/>
          <w:iCs/>
          <w:sz w:val="16"/>
          <w:szCs w:val="16"/>
        </w:rPr>
        <w:t>S. Renzulli, Joseph. (2008). La educación del sobredotado y el desarrollo del talento para todos. Revista de Psicología, vol. XXVI, núm. 1. Pontificia Universidad Católica del Perú Lima, Perú.</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13A3" w:rsidRDefault="008813A3">
    <w:pPr>
      <w:widowControl w:val="0"/>
      <w:pBdr>
        <w:top w:val="nil"/>
        <w:left w:val="nil"/>
        <w:bottom w:val="nil"/>
        <w:right w:val="nil"/>
        <w:between w:val="nil"/>
      </w:pBdr>
      <w:spacing w:line="276" w:lineRule="auto"/>
      <w:rPr>
        <w:sz w:val="20"/>
        <w:szCs w:val="20"/>
      </w:rPr>
    </w:pPr>
  </w:p>
  <w:tbl>
    <w:tblPr>
      <w:tblStyle w:val="a1"/>
      <w:tblW w:w="8830" w:type="dxa"/>
      <w:tblInd w:w="0" w:type="dxa"/>
      <w:tblLayout w:type="fixed"/>
      <w:tblLook w:val="0000" w:firstRow="0" w:lastRow="0" w:firstColumn="0" w:lastColumn="0" w:noHBand="0" w:noVBand="0"/>
    </w:tblPr>
    <w:tblGrid>
      <w:gridCol w:w="2361"/>
      <w:gridCol w:w="4235"/>
      <w:gridCol w:w="2234"/>
    </w:tblGrid>
    <w:tr w:rsidR="008813A3">
      <w:trPr>
        <w:trHeight w:val="454"/>
      </w:trPr>
      <w:tc>
        <w:tcPr>
          <w:tcW w:w="2361" w:type="dxa"/>
          <w:vMerge w:val="restart"/>
          <w:tcBorders>
            <w:top w:val="single" w:sz="4" w:space="0" w:color="000000"/>
            <w:left w:val="single" w:sz="4" w:space="0" w:color="000000"/>
            <w:right w:val="single" w:sz="4" w:space="0" w:color="000000"/>
          </w:tcBorders>
          <w:vAlign w:val="center"/>
        </w:tcPr>
        <w:p w:rsidR="008813A3" w:rsidRDefault="008813A3">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rsidR="008813A3" w:rsidRDefault="00ED01C9">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8813A3" w:rsidRDefault="00ED01C9">
          <w:pPr>
            <w:rPr>
              <w:sz w:val="16"/>
              <w:szCs w:val="16"/>
            </w:rPr>
          </w:pPr>
          <w:r>
            <w:rPr>
              <w:sz w:val="16"/>
              <w:szCs w:val="16"/>
            </w:rPr>
            <w:t>CÓDIGO</w:t>
          </w:r>
          <w:r>
            <w:rPr>
              <w:color w:val="3366FF"/>
              <w:sz w:val="16"/>
              <w:szCs w:val="16"/>
            </w:rPr>
            <w:t xml:space="preserve">: </w:t>
          </w:r>
          <w:r>
            <w:rPr>
              <w:sz w:val="16"/>
              <w:szCs w:val="16"/>
            </w:rPr>
            <w:t>GNV-FO-001</w:t>
          </w:r>
        </w:p>
      </w:tc>
    </w:tr>
    <w:tr w:rsidR="008813A3">
      <w:trPr>
        <w:trHeight w:val="454"/>
      </w:trPr>
      <w:tc>
        <w:tcPr>
          <w:tcW w:w="2361" w:type="dxa"/>
          <w:vMerge/>
          <w:tcBorders>
            <w:top w:val="single" w:sz="4" w:space="0" w:color="000000"/>
            <w:left w:val="single" w:sz="4" w:space="0" w:color="000000"/>
            <w:right w:val="single" w:sz="4" w:space="0" w:color="000000"/>
          </w:tcBorders>
          <w:vAlign w:val="center"/>
        </w:tcPr>
        <w:p w:rsidR="008813A3" w:rsidRDefault="008813A3">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rsidR="008813A3" w:rsidRDefault="00ED01C9">
          <w:pPr>
            <w:jc w:val="center"/>
            <w:rPr>
              <w:sz w:val="20"/>
              <w:szCs w:val="20"/>
            </w:rPr>
          </w:pPr>
          <w:r>
            <w:rPr>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rsidR="008813A3" w:rsidRDefault="00ED01C9">
          <w:pPr>
            <w:rPr>
              <w:sz w:val="16"/>
              <w:szCs w:val="16"/>
            </w:rPr>
          </w:pPr>
          <w:r>
            <w:rPr>
              <w:sz w:val="16"/>
              <w:szCs w:val="16"/>
            </w:rPr>
            <w:t>VERSIÓN:    02</w:t>
          </w:r>
        </w:p>
      </w:tc>
    </w:tr>
    <w:tr w:rsidR="008813A3">
      <w:trPr>
        <w:trHeight w:val="454"/>
      </w:trPr>
      <w:tc>
        <w:tcPr>
          <w:tcW w:w="2361" w:type="dxa"/>
          <w:vMerge/>
          <w:tcBorders>
            <w:top w:val="single" w:sz="4" w:space="0" w:color="000000"/>
            <w:left w:val="single" w:sz="4" w:space="0" w:color="000000"/>
            <w:right w:val="single" w:sz="4" w:space="0" w:color="000000"/>
          </w:tcBorders>
          <w:vAlign w:val="center"/>
        </w:tcPr>
        <w:p w:rsidR="008813A3" w:rsidRDefault="008813A3">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rsidR="008813A3" w:rsidRDefault="008813A3">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rsidR="008813A3" w:rsidRDefault="00ED01C9">
          <w:pPr>
            <w:rPr>
              <w:sz w:val="16"/>
              <w:szCs w:val="16"/>
            </w:rPr>
          </w:pPr>
          <w:r>
            <w:rPr>
              <w:sz w:val="16"/>
              <w:szCs w:val="16"/>
            </w:rPr>
            <w:t>FECHA: 14-Nov-2019</w:t>
          </w:r>
        </w:p>
      </w:tc>
    </w:tr>
  </w:tbl>
  <w:p w:rsidR="008813A3" w:rsidRDefault="00ED01C9">
    <w:pPr>
      <w:pBdr>
        <w:top w:val="nil"/>
        <w:left w:val="nil"/>
        <w:bottom w:val="nil"/>
        <w:right w:val="nil"/>
        <w:between w:val="nil"/>
      </w:pBdr>
      <w:tabs>
        <w:tab w:val="center" w:pos="4252"/>
        <w:tab w:val="right" w:pos="8504"/>
      </w:tabs>
    </w:pPr>
    <w:r>
      <w:rPr>
        <w:noProof/>
        <w:lang w:val="es-CO"/>
      </w:rPr>
      <w:drawing>
        <wp:anchor distT="0" distB="0" distL="0" distR="0" simplePos="0" relativeHeight="251658240" behindDoc="1" locked="0" layoutInCell="1" hidden="0" allowOverlap="1">
          <wp:simplePos x="0" y="0"/>
          <wp:positionH relativeFrom="column">
            <wp:posOffset>441325</wp:posOffset>
          </wp:positionH>
          <wp:positionV relativeFrom="paragraph">
            <wp:posOffset>-890266</wp:posOffset>
          </wp:positionV>
          <wp:extent cx="752475" cy="885825"/>
          <wp:effectExtent l="0" t="0" r="0" b="0"/>
          <wp:wrapNone/>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p w:rsidR="008813A3" w:rsidRDefault="008813A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9822CC"/>
    <w:multiLevelType w:val="multilevel"/>
    <w:tmpl w:val="5E369C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3C333E28"/>
    <w:multiLevelType w:val="multilevel"/>
    <w:tmpl w:val="84F652AC"/>
    <w:lvl w:ilvl="0">
      <w:start w:val="1"/>
      <w:numFmt w:val="upperRoman"/>
      <w:lvlText w:val="%1."/>
      <w:lvlJc w:val="left"/>
      <w:pPr>
        <w:ind w:left="1080" w:hanging="72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3A3"/>
    <w:rsid w:val="000F48EB"/>
    <w:rsid w:val="004B3D6A"/>
    <w:rsid w:val="0068248B"/>
    <w:rsid w:val="008813A3"/>
    <w:rsid w:val="00AD0470"/>
    <w:rsid w:val="00ED01C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8B2078"/>
  <w15:docId w15:val="{4A003829-8FA8-451D-B7FA-6FAEC0DEB5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jc w:val="center"/>
      <w:outlineLvl w:val="0"/>
    </w:pPr>
    <w:rPr>
      <w:rFonts w:ascii="Times New Roman" w:eastAsia="Times New Roman" w:hAnsi="Times New Roman" w:cs="Times New Roman"/>
      <w:color w:val="000000"/>
    </w:rPr>
  </w:style>
  <w:style w:type="paragraph" w:styleId="Ttulo2">
    <w:name w:val="heading 2"/>
    <w:basedOn w:val="Normal"/>
    <w:next w:val="Normal"/>
    <w:pPr>
      <w:keepNext/>
      <w:outlineLvl w:val="1"/>
    </w:pPr>
    <w:rPr>
      <w:rFonts w:ascii="Times New Roman" w:eastAsia="Times New Roman" w:hAnsi="Times New Roman" w:cs="Times New Roman"/>
      <w:color w:val="000000"/>
    </w:rPr>
  </w:style>
  <w:style w:type="paragraph" w:styleId="Ttulo3">
    <w:name w:val="heading 3"/>
    <w:basedOn w:val="Normal"/>
    <w:next w:val="Normal"/>
    <w:pPr>
      <w:keepNext/>
      <w:keepLines/>
      <w:spacing w:before="40"/>
      <w:outlineLvl w:val="2"/>
    </w:pPr>
    <w:rPr>
      <w:color w:val="243F61"/>
    </w:rPr>
  </w:style>
  <w:style w:type="paragraph" w:styleId="Ttulo4">
    <w:name w:val="heading 4"/>
    <w:basedOn w:val="Normal"/>
    <w:next w:val="Normal"/>
    <w:pPr>
      <w:keepNext/>
      <w:spacing w:before="240" w:after="60"/>
      <w:outlineLvl w:val="3"/>
    </w:pPr>
    <w:rPr>
      <w:rFonts w:ascii="Times New Roman" w:eastAsia="Times New Roman" w:hAnsi="Times New Roman" w:cs="Times New Roman"/>
      <w:b/>
      <w:bCs/>
      <w:color w:val="000000"/>
      <w:sz w:val="28"/>
      <w:szCs w:val="28"/>
    </w:rPr>
  </w:style>
  <w:style w:type="paragraph" w:styleId="Ttulo5">
    <w:name w:val="heading 5"/>
    <w:basedOn w:val="Normal"/>
    <w:next w:val="Normal"/>
    <w:pPr>
      <w:keepNext/>
      <w:keepLines/>
      <w:spacing w:before="200"/>
      <w:outlineLvl w:val="4"/>
    </w:pPr>
    <w:rPr>
      <w:rFonts w:ascii="Cambria" w:eastAsia="Cambria" w:hAnsi="Cambria" w:cs="Cambria"/>
      <w:color w:val="243F60"/>
    </w:rPr>
  </w:style>
  <w:style w:type="paragraph" w:styleId="Ttulo6">
    <w:name w:val="heading 6"/>
    <w:basedOn w:val="Normal"/>
    <w:next w:val="Normal"/>
    <w:pPr>
      <w:keepNext/>
      <w:keepLines/>
      <w:spacing w:before="200" w:after="40" w:line="259" w:lineRule="auto"/>
      <w:outlineLvl w:val="5"/>
    </w:pPr>
    <w:rPr>
      <w:rFonts w:ascii="Calibri" w:eastAsia="Calibri" w:hAnsi="Calibri" w:cs="Calibri"/>
      <w:b/>
      <w:bCs/>
      <w:color w:val="000000"/>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line="259" w:lineRule="auto"/>
    </w:pPr>
    <w:rPr>
      <w:rFonts w:ascii="Calibri" w:eastAsia="Calibri" w:hAnsi="Calibri" w:cs="Calibri"/>
      <w:b/>
      <w:bCs/>
      <w:color w:val="000000"/>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Ttulo1Car">
    <w:name w:val="Título 1 Car"/>
    <w:basedOn w:val="Fuentedeprrafopredeter"/>
    <w:uiPriority w:val="1"/>
    <w:locked/>
    <w:rsid w:val="0078358A"/>
    <w:rPr>
      <w:rFonts w:ascii="Cambria" w:hAnsi="Cambria" w:cs="Times New Roman"/>
      <w:b/>
      <w:bCs/>
      <w:color w:val="000000"/>
      <w:kern w:val="32"/>
      <w:sz w:val="32"/>
      <w:szCs w:val="32"/>
    </w:rPr>
  </w:style>
  <w:style w:type="character" w:customStyle="1" w:styleId="Ttulo2Car">
    <w:name w:val="Título 2 Car"/>
    <w:basedOn w:val="Fuentedeprrafopredeter"/>
    <w:uiPriority w:val="1"/>
    <w:locked/>
    <w:rsid w:val="0078358A"/>
    <w:rPr>
      <w:rFonts w:ascii="Cambria" w:hAnsi="Cambria" w:cs="Times New Roman"/>
      <w:b/>
      <w:bCs/>
      <w:i/>
      <w:iCs/>
      <w:color w:val="000000"/>
      <w:sz w:val="28"/>
      <w:szCs w:val="28"/>
    </w:rPr>
  </w:style>
  <w:style w:type="character" w:customStyle="1" w:styleId="Ttulo4Car">
    <w:name w:val="Título 4 Car"/>
    <w:basedOn w:val="Fuentedeprrafopredeter"/>
    <w:uiPriority w:val="99"/>
    <w:locked/>
    <w:rsid w:val="00BD4F10"/>
    <w:rPr>
      <w:rFonts w:cs="Times New Roman"/>
      <w:b/>
      <w:sz w:val="28"/>
      <w:lang w:val="es-ES" w:eastAsia="es-ES"/>
    </w:rPr>
  </w:style>
  <w:style w:type="character" w:customStyle="1" w:styleId="Ttulo5Car">
    <w:name w:val="Título 5 Car"/>
    <w:basedOn w:val="Fuentedeprrafopredeter"/>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1"/>
    <w:qFormat/>
    <w:rsid w:val="00AE7E3B"/>
    <w:pPr>
      <w:jc w:val="both"/>
    </w:pPr>
    <w:rPr>
      <w:rFonts w:ascii="Times New Roman" w:hAnsi="Times New Roman"/>
      <w:lang w:val="es-MX"/>
    </w:rPr>
  </w:style>
  <w:style w:type="character" w:customStyle="1" w:styleId="TextoindependienteCar">
    <w:name w:val="Texto independiente Car"/>
    <w:basedOn w:val="Fuentedeprrafopredeter"/>
    <w:link w:val="Textoindependiente"/>
    <w:uiPriority w:val="1"/>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rsid w:val="00AE7E3B"/>
    <w:rPr>
      <w:sz w:val="20"/>
    </w:rPr>
  </w:style>
  <w:style w:type="character" w:customStyle="1" w:styleId="TextocomentarioCar">
    <w:name w:val="Texto comentario Car"/>
    <w:basedOn w:val="Fuentedeprrafopredeter"/>
    <w:link w:val="Textocomentario"/>
    <w:uiPriority w:val="99"/>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2,Ha,Resume Title,Bullet List,FooterText,numbered,List Paragraph1,Paragraphe de liste1,lp1,HOJA,Colorful List Accent 1,Colorful List - Accent 11,titulo 3,Colorful List - Accent 111,Bullets"/>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Textonotapie">
    <w:name w:val="footnote text"/>
    <w:basedOn w:val="Normal"/>
    <w:link w:val="TextonotapieCar"/>
    <w:uiPriority w:val="99"/>
    <w:semiHidden/>
    <w:unhideWhenUsed/>
    <w:rsid w:val="00BE5306"/>
    <w:rPr>
      <w:sz w:val="20"/>
    </w:rPr>
  </w:style>
  <w:style w:type="character" w:customStyle="1" w:styleId="TextonotapieCar">
    <w:name w:val="Texto nota pie Car"/>
    <w:basedOn w:val="Fuentedeprrafopredeter"/>
    <w:link w:val="Textonotapie"/>
    <w:uiPriority w:val="99"/>
    <w:semiHidden/>
    <w:rsid w:val="00BE5306"/>
    <w:rPr>
      <w:rFonts w:ascii="Arial" w:hAnsi="Arial"/>
      <w:color w:val="000000"/>
    </w:rPr>
  </w:style>
  <w:style w:type="character" w:styleId="Refdenotaalpie">
    <w:name w:val="footnote reference"/>
    <w:basedOn w:val="Fuentedeprrafopredeter"/>
    <w:uiPriority w:val="99"/>
    <w:semiHidden/>
    <w:unhideWhenUsed/>
    <w:rsid w:val="00BE5306"/>
    <w:rPr>
      <w:vertAlign w:val="superscript"/>
    </w:rPr>
  </w:style>
  <w:style w:type="paragraph" w:styleId="Asuntodelcomentario">
    <w:name w:val="annotation subject"/>
    <w:basedOn w:val="Textocomentario"/>
    <w:next w:val="Textocomentario"/>
    <w:link w:val="AsuntodelcomentarioCar"/>
    <w:uiPriority w:val="99"/>
    <w:semiHidden/>
    <w:unhideWhenUsed/>
    <w:rsid w:val="00772006"/>
    <w:pPr>
      <w:spacing w:after="160"/>
    </w:pPr>
    <w:rPr>
      <w:rFonts w:asciiTheme="minorHAnsi" w:eastAsiaTheme="minorHAnsi" w:hAnsiTheme="minorHAnsi" w:cstheme="minorBidi"/>
      <w:b/>
      <w:bCs/>
      <w:lang w:val="es-CO" w:eastAsia="en-US"/>
    </w:rPr>
  </w:style>
  <w:style w:type="character" w:customStyle="1" w:styleId="AsuntodelcomentarioCar">
    <w:name w:val="Asunto del comentario Car"/>
    <w:basedOn w:val="TextocomentarioCar"/>
    <w:link w:val="Asuntodelcomentario"/>
    <w:uiPriority w:val="99"/>
    <w:semiHidden/>
    <w:rsid w:val="00772006"/>
    <w:rPr>
      <w:rFonts w:asciiTheme="minorHAnsi" w:eastAsiaTheme="minorHAnsi" w:hAnsiTheme="minorHAnsi" w:cstheme="minorBidi"/>
      <w:b/>
      <w:bCs/>
      <w:color w:val="000000"/>
      <w:sz w:val="20"/>
      <w:szCs w:val="20"/>
      <w:lang w:val="es-CO" w:eastAsia="en-US"/>
    </w:rPr>
  </w:style>
  <w:style w:type="paragraph" w:styleId="Descripcin">
    <w:name w:val="caption"/>
    <w:basedOn w:val="Normal"/>
    <w:next w:val="Normal"/>
    <w:uiPriority w:val="35"/>
    <w:unhideWhenUsed/>
    <w:qFormat/>
    <w:locked/>
    <w:rsid w:val="00772006"/>
    <w:pPr>
      <w:spacing w:after="200"/>
    </w:pPr>
    <w:rPr>
      <w:rFonts w:asciiTheme="minorHAnsi" w:eastAsiaTheme="minorHAnsi" w:hAnsiTheme="minorHAnsi" w:cstheme="minorBidi"/>
      <w:i/>
      <w:iCs/>
      <w:color w:val="1F497D" w:themeColor="text2"/>
      <w:sz w:val="18"/>
      <w:szCs w:val="18"/>
      <w:lang w:val="es-CO" w:eastAsia="en-US"/>
    </w:rPr>
  </w:style>
  <w:style w:type="paragraph" w:styleId="Sinespaciado">
    <w:name w:val="No Spacing"/>
    <w:uiPriority w:val="1"/>
    <w:qFormat/>
    <w:rsid w:val="004C3CE2"/>
    <w:rPr>
      <w:color w:val="000000"/>
    </w:rPr>
  </w:style>
  <w:style w:type="character" w:styleId="Hipervnculovisitado">
    <w:name w:val="FollowedHyperlink"/>
    <w:basedOn w:val="Fuentedeprrafopredeter"/>
    <w:uiPriority w:val="99"/>
    <w:semiHidden/>
    <w:unhideWhenUsed/>
    <w:rsid w:val="00224085"/>
    <w:rPr>
      <w:color w:val="800080" w:themeColor="followedHyperlink"/>
      <w:u w:val="single"/>
    </w:rPr>
  </w:style>
  <w:style w:type="paragraph" w:styleId="NormalWeb">
    <w:name w:val="Normal (Web)"/>
    <w:basedOn w:val="Normal"/>
    <w:link w:val="NormalWebCar"/>
    <w:uiPriority w:val="99"/>
    <w:rsid w:val="00DB2C0C"/>
    <w:pPr>
      <w:spacing w:before="100" w:beforeAutospacing="1" w:after="100" w:afterAutospacing="1"/>
    </w:pPr>
    <w:rPr>
      <w:rFonts w:ascii="Times New Roman" w:hAnsi="Times New Roman"/>
    </w:rPr>
  </w:style>
  <w:style w:type="character" w:customStyle="1" w:styleId="NormalWebCar">
    <w:name w:val="Normal (Web) Car"/>
    <w:link w:val="NormalWeb"/>
    <w:uiPriority w:val="99"/>
    <w:locked/>
    <w:rsid w:val="00DB2C0C"/>
    <w:rPr>
      <w:sz w:val="24"/>
      <w:szCs w:val="24"/>
    </w:rPr>
  </w:style>
  <w:style w:type="paragraph" w:customStyle="1" w:styleId="centrado">
    <w:name w:val="centrado"/>
    <w:basedOn w:val="Normal"/>
    <w:rsid w:val="000349D5"/>
    <w:pPr>
      <w:spacing w:before="100" w:beforeAutospacing="1" w:after="100" w:afterAutospacing="1"/>
    </w:pPr>
    <w:rPr>
      <w:rFonts w:ascii="Times New Roman" w:hAnsi="Times New Roman"/>
      <w:lang w:val="es-CO"/>
    </w:rPr>
  </w:style>
  <w:style w:type="character" w:customStyle="1" w:styleId="baj">
    <w:name w:val="b_aj"/>
    <w:basedOn w:val="Fuentedeprrafopredeter"/>
    <w:rsid w:val="000349D5"/>
  </w:style>
  <w:style w:type="character" w:styleId="Textoennegrita">
    <w:name w:val="Strong"/>
    <w:basedOn w:val="Fuentedeprrafopredeter"/>
    <w:uiPriority w:val="22"/>
    <w:qFormat/>
    <w:locked/>
    <w:rsid w:val="00A44F02"/>
    <w:rPr>
      <w:b/>
      <w:bCs/>
    </w:rPr>
  </w:style>
  <w:style w:type="character" w:styleId="nfasis">
    <w:name w:val="Emphasis"/>
    <w:basedOn w:val="Fuentedeprrafopredeter"/>
    <w:uiPriority w:val="20"/>
    <w:qFormat/>
    <w:locked/>
    <w:rsid w:val="000622B0"/>
    <w:rPr>
      <w:i/>
      <w:iCs/>
    </w:rPr>
  </w:style>
  <w:style w:type="character" w:customStyle="1" w:styleId="Ttulo3Car">
    <w:name w:val="Título 3 Car"/>
    <w:basedOn w:val="Fuentedeprrafopredeter"/>
    <w:semiHidden/>
    <w:rsid w:val="00FB3FBA"/>
    <w:rPr>
      <w:rFonts w:asciiTheme="majorHAnsi" w:eastAsiaTheme="majorEastAsia" w:hAnsiTheme="majorHAnsi" w:cstheme="majorBidi"/>
      <w:color w:val="243F60" w:themeColor="accent1" w:themeShade="7F"/>
      <w:sz w:val="24"/>
      <w:szCs w:val="24"/>
    </w:rPr>
  </w:style>
  <w:style w:type="paragraph" w:customStyle="1" w:styleId="bordeespecial">
    <w:name w:val="borde_especial"/>
    <w:basedOn w:val="Normal"/>
    <w:rsid w:val="00734EE3"/>
    <w:pPr>
      <w:spacing w:before="100" w:beforeAutospacing="1" w:after="100" w:afterAutospacing="1"/>
    </w:pPr>
    <w:rPr>
      <w:rFonts w:ascii="Times New Roman" w:hAnsi="Times New Roman"/>
      <w:lang w:val="es-CO"/>
    </w:rPr>
  </w:style>
  <w:style w:type="character" w:customStyle="1" w:styleId="PrrafodelistaCar">
    <w:name w:val="Párrafo de lista Car"/>
    <w:aliases w:val="List1 Car,LISTA Car,Párrafo de lista2 Car,Ha Car,Resume Title Car,Bullet List Car,FooterText Car,numbered Car,List Paragraph1 Car,Paragraphe de liste1 Car,lp1 Car,HOJA Car,Colorful List Accent 1 Car,Colorful List - Accent 11 Car"/>
    <w:link w:val="Prrafodelista"/>
    <w:uiPriority w:val="34"/>
    <w:qFormat/>
    <w:rsid w:val="009F79A9"/>
    <w:rPr>
      <w:rFonts w:ascii="Arial" w:hAnsi="Arial"/>
      <w:color w:val="000000"/>
      <w:sz w:val="24"/>
    </w:rPr>
  </w:style>
  <w:style w:type="paragraph" w:customStyle="1" w:styleId="Sinespaciado1">
    <w:name w:val="Sin espaciado1"/>
    <w:uiPriority w:val="99"/>
    <w:qFormat/>
    <w:rsid w:val="009F79A9"/>
    <w:rPr>
      <w:rFonts w:ascii="Calibri" w:eastAsia="Calibri" w:hAnsi="Calibri" w:cs="Calibri"/>
      <w:sz w:val="22"/>
      <w:szCs w:val="22"/>
      <w:lang w:eastAsia="en-US"/>
    </w:rPr>
  </w:style>
  <w:style w:type="paragraph" w:customStyle="1" w:styleId="Default">
    <w:name w:val="Default"/>
    <w:rsid w:val="001B582E"/>
    <w:pPr>
      <w:autoSpaceDE w:val="0"/>
      <w:autoSpaceDN w:val="0"/>
      <w:adjustRightInd w:val="0"/>
    </w:pPr>
    <w:rPr>
      <w:color w:val="000000"/>
      <w:lang w:val="es-CO"/>
    </w:rPr>
  </w:style>
  <w:style w:type="character" w:customStyle="1" w:styleId="emphasized">
    <w:name w:val="emphasized"/>
    <w:basedOn w:val="Fuentedeprrafopredeter"/>
    <w:rsid w:val="00EA2F97"/>
  </w:style>
  <w:style w:type="character" w:customStyle="1" w:styleId="n">
    <w:name w:val="n"/>
    <w:basedOn w:val="Fuentedeprrafopredeter"/>
    <w:rsid w:val="00870120"/>
  </w:style>
  <w:style w:type="character" w:customStyle="1" w:styleId="Mencinsinresolver1">
    <w:name w:val="Mención sin resolver1"/>
    <w:basedOn w:val="Fuentedeprrafopredeter"/>
    <w:uiPriority w:val="99"/>
    <w:semiHidden/>
    <w:unhideWhenUsed/>
    <w:rsid w:val="00AA114F"/>
    <w:rPr>
      <w:color w:val="605E5C"/>
      <w:shd w:val="clear" w:color="auto" w:fill="E1DFDD"/>
    </w:rPr>
  </w:style>
  <w:style w:type="character" w:customStyle="1" w:styleId="Ttulo6Car">
    <w:name w:val="Título 6 Car"/>
    <w:basedOn w:val="Fuentedeprrafopredeter"/>
    <w:rsid w:val="00D609B2"/>
    <w:rPr>
      <w:rFonts w:ascii="Calibri" w:eastAsia="Calibri" w:hAnsi="Calibri" w:cs="Calibri"/>
      <w:b/>
      <w:lang w:eastAsia="en-US"/>
    </w:rPr>
  </w:style>
  <w:style w:type="table" w:customStyle="1" w:styleId="TableNormal10">
    <w:name w:val="Table Normal1"/>
    <w:rsid w:val="00D609B2"/>
    <w:pPr>
      <w:spacing w:after="160" w:line="259" w:lineRule="auto"/>
    </w:pPr>
    <w:rPr>
      <w:rFonts w:ascii="Calibri" w:eastAsia="Calibri" w:hAnsi="Calibri" w:cs="Calibri"/>
      <w:sz w:val="22"/>
      <w:szCs w:val="22"/>
      <w:lang w:eastAsia="en-US"/>
    </w:rPr>
    <w:tblPr>
      <w:tblCellMar>
        <w:top w:w="0" w:type="dxa"/>
        <w:left w:w="0" w:type="dxa"/>
        <w:bottom w:w="0" w:type="dxa"/>
        <w:right w:w="0" w:type="dxa"/>
      </w:tblCellMar>
    </w:tblPr>
  </w:style>
  <w:style w:type="character" w:customStyle="1" w:styleId="TtuloCar">
    <w:name w:val="Título Car"/>
    <w:basedOn w:val="Fuentedeprrafopredeter"/>
    <w:uiPriority w:val="1"/>
    <w:rsid w:val="00D609B2"/>
    <w:rPr>
      <w:rFonts w:ascii="Calibri" w:eastAsia="Calibri" w:hAnsi="Calibri" w:cs="Calibri"/>
      <w:b/>
      <w:sz w:val="72"/>
      <w:szCs w:val="72"/>
      <w:lang w:eastAsia="en-US"/>
    </w:rPr>
  </w:style>
  <w:style w:type="paragraph" w:customStyle="1" w:styleId="paragraph">
    <w:name w:val="paragraph"/>
    <w:basedOn w:val="Normal"/>
    <w:rsid w:val="00D609B2"/>
    <w:pPr>
      <w:spacing w:before="100" w:beforeAutospacing="1" w:after="100" w:afterAutospacing="1"/>
    </w:pPr>
    <w:rPr>
      <w:rFonts w:ascii="Times New Roman" w:hAnsi="Times New Roman"/>
      <w:lang w:eastAsia="en-US"/>
    </w:rPr>
  </w:style>
  <w:style w:type="character" w:customStyle="1" w:styleId="normaltextrun">
    <w:name w:val="normaltextrun"/>
    <w:basedOn w:val="Fuentedeprrafopredeter"/>
    <w:rsid w:val="00D609B2"/>
  </w:style>
  <w:style w:type="character" w:customStyle="1" w:styleId="eop">
    <w:name w:val="eop"/>
    <w:basedOn w:val="Fuentedeprrafopredeter"/>
    <w:rsid w:val="00D609B2"/>
  </w:style>
  <w:style w:type="character" w:customStyle="1" w:styleId="tabchar">
    <w:name w:val="tabchar"/>
    <w:basedOn w:val="Fuentedeprrafopredeter"/>
    <w:rsid w:val="00D609B2"/>
  </w:style>
  <w:style w:type="paragraph" w:styleId="Revisin">
    <w:name w:val="Revision"/>
    <w:hidden/>
    <w:uiPriority w:val="99"/>
    <w:semiHidden/>
    <w:rsid w:val="00D609B2"/>
    <w:rPr>
      <w:rFonts w:ascii="Calibri" w:eastAsia="Calibri" w:hAnsi="Calibri" w:cs="Calibri"/>
      <w:sz w:val="22"/>
      <w:szCs w:val="22"/>
      <w:lang w:eastAsia="en-US"/>
    </w:rPr>
  </w:style>
  <w:style w:type="character" w:customStyle="1" w:styleId="SubttuloCar">
    <w:name w:val="Subtítulo Car"/>
    <w:basedOn w:val="Fuentedeprrafopredeter"/>
    <w:rsid w:val="00D609B2"/>
    <w:rPr>
      <w:rFonts w:ascii="Georgia" w:eastAsia="Georgia" w:hAnsi="Georgia" w:cs="Georgia"/>
      <w:i/>
      <w:color w:val="666666"/>
      <w:sz w:val="48"/>
      <w:szCs w:val="48"/>
      <w:lang w:eastAsia="en-US"/>
    </w:rPr>
  </w:style>
  <w:style w:type="paragraph" w:styleId="TDC1">
    <w:name w:val="toc 1"/>
    <w:basedOn w:val="Normal"/>
    <w:uiPriority w:val="1"/>
    <w:qFormat/>
    <w:locked/>
    <w:rsid w:val="00D609B2"/>
    <w:pPr>
      <w:widowControl w:val="0"/>
      <w:autoSpaceDE w:val="0"/>
      <w:autoSpaceDN w:val="0"/>
      <w:spacing w:before="49"/>
      <w:ind w:left="142"/>
    </w:pPr>
    <w:rPr>
      <w:rFonts w:ascii="Candara" w:eastAsia="Candara" w:hAnsi="Candara" w:cs="Candara"/>
      <w:sz w:val="22"/>
      <w:szCs w:val="22"/>
      <w:lang w:eastAsia="en-US"/>
    </w:rPr>
  </w:style>
  <w:style w:type="paragraph" w:styleId="TDC2">
    <w:name w:val="toc 2"/>
    <w:basedOn w:val="Normal"/>
    <w:uiPriority w:val="1"/>
    <w:qFormat/>
    <w:locked/>
    <w:rsid w:val="00D609B2"/>
    <w:pPr>
      <w:widowControl w:val="0"/>
      <w:autoSpaceDE w:val="0"/>
      <w:autoSpaceDN w:val="0"/>
      <w:spacing w:before="140"/>
      <w:ind w:left="362"/>
    </w:pPr>
    <w:rPr>
      <w:rFonts w:ascii="Candara" w:eastAsia="Candara" w:hAnsi="Candara" w:cs="Candara"/>
      <w:sz w:val="22"/>
      <w:szCs w:val="22"/>
      <w:lang w:eastAsia="en-US"/>
    </w:rPr>
  </w:style>
  <w:style w:type="paragraph" w:styleId="TDC3">
    <w:name w:val="toc 3"/>
    <w:basedOn w:val="Normal"/>
    <w:uiPriority w:val="1"/>
    <w:qFormat/>
    <w:locked/>
    <w:rsid w:val="00D609B2"/>
    <w:pPr>
      <w:widowControl w:val="0"/>
      <w:autoSpaceDE w:val="0"/>
      <w:autoSpaceDN w:val="0"/>
      <w:spacing w:before="139"/>
      <w:ind w:left="1022" w:hanging="442"/>
    </w:pPr>
    <w:rPr>
      <w:rFonts w:ascii="Candara" w:eastAsia="Candara" w:hAnsi="Candara" w:cs="Candara"/>
      <w:sz w:val="22"/>
      <w:szCs w:val="22"/>
      <w:lang w:eastAsia="en-US"/>
    </w:rPr>
  </w:style>
  <w:style w:type="paragraph" w:customStyle="1" w:styleId="TableParagraph">
    <w:name w:val="Table Paragraph"/>
    <w:basedOn w:val="Normal"/>
    <w:uiPriority w:val="1"/>
    <w:qFormat/>
    <w:rsid w:val="00D609B2"/>
    <w:pPr>
      <w:widowControl w:val="0"/>
      <w:autoSpaceDE w:val="0"/>
      <w:autoSpaceDN w:val="0"/>
      <w:ind w:left="107"/>
    </w:pPr>
    <w:rPr>
      <w:rFonts w:ascii="Candara" w:eastAsia="Candara" w:hAnsi="Candara" w:cs="Candara"/>
      <w:sz w:val="22"/>
      <w:szCs w:val="22"/>
      <w:lang w:eastAsia="en-US"/>
    </w:rPr>
  </w:style>
  <w:style w:type="character" w:customStyle="1" w:styleId="Mencinsinresolver2">
    <w:name w:val="Mención sin resolver2"/>
    <w:basedOn w:val="Fuentedeprrafopredeter"/>
    <w:uiPriority w:val="99"/>
    <w:semiHidden/>
    <w:unhideWhenUsed/>
    <w:rsid w:val="0093132A"/>
    <w:rPr>
      <w:color w:val="605E5C"/>
      <w:shd w:val="clear" w:color="auto" w:fill="E1DFDD"/>
    </w:rPr>
  </w:style>
  <w:style w:type="character" w:customStyle="1" w:styleId="apple-converted-space">
    <w:name w:val="apple-converted-space"/>
    <w:basedOn w:val="Fuentedeprrafopredeter"/>
    <w:rsid w:val="0027619F"/>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paragraph" w:styleId="Subttulo">
    <w:name w:val="Subtitle"/>
    <w:basedOn w:val="Normal"/>
    <w:next w:val="Normal"/>
    <w:pPr>
      <w:keepNext/>
      <w:keepLines/>
      <w:spacing w:before="360" w:after="80" w:line="259" w:lineRule="auto"/>
    </w:pPr>
    <w:rPr>
      <w:rFonts w:ascii="Georgia" w:eastAsia="Georgia" w:hAnsi="Georgia" w:cs="Georgia"/>
      <w:i/>
      <w:iCs/>
      <w:color w:val="666666"/>
      <w:sz w:val="48"/>
      <w:szCs w:val="48"/>
    </w:rPr>
  </w:style>
  <w:style w:type="table" w:customStyle="1" w:styleId="a1">
    <w:basedOn w:val="TableNormal1"/>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j0MnJq5zydirSokFt1LnGuQ5yQ==">CgMxLjAyCGguZ2pkZ3hzOAByITEySFp1NUx2cGdXZTR2LTgxbE9FVUZ4UlV0VllxTGplcQ==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Pages>
  <Words>3525</Words>
  <Characters>19391</Characters>
  <Application>Microsoft Office Word</Application>
  <DocSecurity>0</DocSecurity>
  <Lines>161</Lines>
  <Paragraphs>45</Paragraphs>
  <ScaleCrop>false</ScaleCrop>
  <Company/>
  <LinksUpToDate>false</LinksUpToDate>
  <CharactersWithSpaces>22871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CLAUDIA TERESA SUAREZ NIÑO</cp:lastModifiedBy>
  <cp:revision>4</cp:revision>
  <dcterms:created xsi:type="dcterms:W3CDTF">2024-09-26T16:33:00Z</dcterms:created>
  <dcterms:modified xsi:type="dcterms:W3CDTF">2026-01-20T22:33:00Z</dcterms:modified>
</cp:coreProperties>
</file>